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258" w:rsidRPr="0079212E" w:rsidRDefault="00A70258" w:rsidP="00F70DC6">
      <w:pPr>
        <w:autoSpaceDE w:val="0"/>
        <w:autoSpaceDN w:val="0"/>
        <w:adjustRightInd w:val="0"/>
        <w:spacing w:line="240" w:lineRule="auto"/>
        <w:jc w:val="center"/>
        <w:rPr>
          <w:rFonts w:ascii="Arial" w:hAnsi="Arial" w:cs="Arial"/>
          <w:b/>
          <w:bCs/>
          <w:sz w:val="28"/>
          <w:szCs w:val="28"/>
          <w:lang w:val="es-ES_tradnl"/>
        </w:rPr>
      </w:pPr>
      <w:r w:rsidRPr="0079212E">
        <w:rPr>
          <w:rFonts w:ascii="Arial" w:hAnsi="Arial" w:cs="Arial"/>
          <w:b/>
          <w:bCs/>
          <w:noProof/>
          <w:sz w:val="28"/>
          <w:szCs w:val="28"/>
          <w:lang w:val="en-US" w:eastAsia="en-US"/>
        </w:rPr>
        <w:drawing>
          <wp:anchor distT="0" distB="0" distL="114300" distR="114300" simplePos="0" relativeHeight="251661312" behindDoc="0" locked="0" layoutInCell="1" allowOverlap="1">
            <wp:simplePos x="0" y="0"/>
            <wp:positionH relativeFrom="column">
              <wp:posOffset>2354580</wp:posOffset>
            </wp:positionH>
            <wp:positionV relativeFrom="paragraph">
              <wp:posOffset>-874395</wp:posOffset>
            </wp:positionV>
            <wp:extent cx="981710" cy="629285"/>
            <wp:effectExtent l="19050" t="0" r="8890" b="0"/>
            <wp:wrapSquare wrapText="bothSides"/>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6" cstate="print"/>
                    <a:srcRect/>
                    <a:stretch>
                      <a:fillRect/>
                    </a:stretch>
                  </pic:blipFill>
                  <pic:spPr bwMode="auto">
                    <a:xfrm>
                      <a:off x="0" y="0"/>
                      <a:ext cx="981710" cy="629285"/>
                    </a:xfrm>
                    <a:prstGeom prst="rect">
                      <a:avLst/>
                    </a:prstGeom>
                    <a:noFill/>
                  </pic:spPr>
                </pic:pic>
              </a:graphicData>
            </a:graphic>
          </wp:anchor>
        </w:drawing>
      </w:r>
      <w:r w:rsidRPr="0079212E">
        <w:rPr>
          <w:rFonts w:ascii="Arial" w:hAnsi="Arial" w:cs="Arial"/>
          <w:b/>
          <w:bCs/>
          <w:sz w:val="28"/>
          <w:szCs w:val="28"/>
          <w:lang w:val="es-ES_tradnl"/>
        </w:rPr>
        <w:t>Universidad de Ciencias Médicas de Las Tunas</w:t>
      </w:r>
    </w:p>
    <w:p w:rsidR="00A70258" w:rsidRPr="0079212E" w:rsidRDefault="00A70258" w:rsidP="00A70258">
      <w:pPr>
        <w:autoSpaceDE w:val="0"/>
        <w:autoSpaceDN w:val="0"/>
        <w:adjustRightInd w:val="0"/>
        <w:spacing w:line="240" w:lineRule="auto"/>
        <w:ind w:left="708"/>
        <w:jc w:val="center"/>
        <w:rPr>
          <w:rFonts w:ascii="Arial" w:hAnsi="Arial" w:cs="Arial"/>
          <w:b/>
          <w:bCs/>
          <w:sz w:val="28"/>
          <w:szCs w:val="28"/>
          <w:lang w:val="es-ES_tradnl"/>
        </w:rPr>
      </w:pPr>
      <w:r w:rsidRPr="0079212E">
        <w:rPr>
          <w:rFonts w:ascii="Arial" w:hAnsi="Arial" w:cs="Arial"/>
          <w:b/>
          <w:bCs/>
          <w:sz w:val="28"/>
          <w:szCs w:val="28"/>
          <w:lang w:val="es-ES_tradnl"/>
        </w:rPr>
        <w:t>Facultad de Ciencias Médicas</w:t>
      </w:r>
    </w:p>
    <w:p w:rsidR="00A70258" w:rsidRPr="0079212E" w:rsidRDefault="00A70258" w:rsidP="00A70258">
      <w:pPr>
        <w:autoSpaceDE w:val="0"/>
        <w:autoSpaceDN w:val="0"/>
        <w:adjustRightInd w:val="0"/>
        <w:spacing w:line="240" w:lineRule="auto"/>
        <w:jc w:val="center"/>
        <w:rPr>
          <w:rFonts w:ascii="Arial" w:hAnsi="Arial" w:cs="Arial"/>
          <w:b/>
          <w:bCs/>
          <w:sz w:val="28"/>
          <w:szCs w:val="28"/>
          <w:lang w:val="es-ES_tradnl"/>
        </w:rPr>
      </w:pPr>
      <w:r w:rsidRPr="0079212E">
        <w:rPr>
          <w:rFonts w:ascii="Arial" w:hAnsi="Arial" w:cs="Arial"/>
          <w:b/>
          <w:bCs/>
          <w:sz w:val="28"/>
          <w:szCs w:val="28"/>
          <w:lang w:val="es-ES_tradnl"/>
        </w:rPr>
        <w:t>Doctor “Zoilo Enrique Marinello Vidaurreta”</w:t>
      </w:r>
    </w:p>
    <w:p w:rsidR="00A70258" w:rsidRPr="00971CEB" w:rsidRDefault="00A70258" w:rsidP="00A70258">
      <w:pPr>
        <w:autoSpaceDE w:val="0"/>
        <w:autoSpaceDN w:val="0"/>
        <w:adjustRightInd w:val="0"/>
        <w:jc w:val="center"/>
        <w:rPr>
          <w:rFonts w:ascii="Arial" w:hAnsi="Arial" w:cs="Arial"/>
          <w:bCs/>
          <w:sz w:val="28"/>
          <w:szCs w:val="28"/>
          <w:lang w:val="es-ES_tradnl"/>
        </w:rPr>
      </w:pPr>
      <w:r w:rsidRPr="00971CEB">
        <w:rPr>
          <w:rFonts w:ascii="Arial" w:hAnsi="Arial" w:cs="Arial"/>
          <w:bCs/>
          <w:sz w:val="28"/>
          <w:szCs w:val="28"/>
          <w:lang w:val="es-ES_tradnl"/>
        </w:rPr>
        <w:t>Departamento de Nefrología</w:t>
      </w:r>
    </w:p>
    <w:p w:rsidR="00402173" w:rsidRDefault="00402173" w:rsidP="00A70258">
      <w:pPr>
        <w:spacing w:line="240" w:lineRule="auto"/>
        <w:jc w:val="center"/>
        <w:rPr>
          <w:rFonts w:ascii="Arial" w:hAnsi="Arial" w:cs="Arial"/>
          <w:b/>
          <w:bCs/>
          <w:sz w:val="34"/>
          <w:szCs w:val="34"/>
        </w:rPr>
      </w:pPr>
    </w:p>
    <w:p w:rsidR="00A70258" w:rsidRPr="00F515E8" w:rsidRDefault="0015301E" w:rsidP="00A70258">
      <w:pPr>
        <w:spacing w:line="240" w:lineRule="auto"/>
        <w:jc w:val="center"/>
        <w:rPr>
          <w:rFonts w:ascii="Arial" w:hAnsi="Arial" w:cs="Arial"/>
          <w:b/>
          <w:bCs/>
          <w:sz w:val="34"/>
          <w:szCs w:val="34"/>
        </w:rPr>
      </w:pPr>
      <w:r>
        <w:rPr>
          <w:rFonts w:ascii="Arial" w:hAnsi="Arial" w:cs="Arial"/>
          <w:b/>
          <w:bCs/>
          <w:sz w:val="34"/>
          <w:szCs w:val="34"/>
        </w:rPr>
        <w:t>XXXIV JORNADA CIENTÍFICA ESTUDIANTIL</w:t>
      </w:r>
    </w:p>
    <w:p w:rsidR="00E6198A" w:rsidRPr="00FD44EE" w:rsidRDefault="00E6198A" w:rsidP="00A70258">
      <w:pPr>
        <w:spacing w:line="240" w:lineRule="auto"/>
        <w:jc w:val="center"/>
        <w:rPr>
          <w:rFonts w:ascii="Arial" w:hAnsi="Arial" w:cs="Arial"/>
          <w:b/>
          <w:bCs/>
          <w:sz w:val="32"/>
          <w:szCs w:val="32"/>
        </w:rPr>
      </w:pPr>
      <w:r w:rsidRPr="00FD44EE">
        <w:rPr>
          <w:rFonts w:ascii="Arial" w:hAnsi="Arial" w:cs="Arial"/>
          <w:b/>
          <w:bCs/>
          <w:sz w:val="32"/>
          <w:szCs w:val="32"/>
        </w:rPr>
        <w:t>Informe final</w:t>
      </w:r>
    </w:p>
    <w:p w:rsidR="00A70258" w:rsidRDefault="00A70258" w:rsidP="00A70258">
      <w:pPr>
        <w:spacing w:line="240" w:lineRule="auto"/>
        <w:jc w:val="center"/>
        <w:rPr>
          <w:rFonts w:ascii="Arial" w:hAnsi="Arial" w:cs="Arial"/>
          <w:b/>
          <w:sz w:val="36"/>
          <w:szCs w:val="36"/>
        </w:rPr>
      </w:pPr>
    </w:p>
    <w:p w:rsidR="00A70258" w:rsidRPr="00FD44EE" w:rsidRDefault="0015301E" w:rsidP="00A70258">
      <w:pPr>
        <w:autoSpaceDE w:val="0"/>
        <w:autoSpaceDN w:val="0"/>
        <w:adjustRightInd w:val="0"/>
        <w:spacing w:before="120" w:after="120" w:line="360" w:lineRule="auto"/>
        <w:jc w:val="both"/>
        <w:rPr>
          <w:rFonts w:ascii="Arial" w:hAnsi="Arial" w:cs="Arial"/>
          <w:b/>
          <w:bCs/>
          <w:sz w:val="30"/>
          <w:szCs w:val="30"/>
        </w:rPr>
      </w:pPr>
      <w:r>
        <w:rPr>
          <w:rFonts w:ascii="Arial" w:hAnsi="Arial" w:cs="Arial"/>
          <w:b/>
          <w:bCs/>
          <w:sz w:val="30"/>
          <w:szCs w:val="30"/>
        </w:rPr>
        <w:t>Índice pronóstico de mortalidad a corto plazo en</w:t>
      </w:r>
      <w:r w:rsidR="00E6198A" w:rsidRPr="00FD44EE">
        <w:rPr>
          <w:rFonts w:ascii="Arial" w:hAnsi="Arial" w:cs="Arial"/>
          <w:b/>
          <w:bCs/>
          <w:sz w:val="30"/>
          <w:szCs w:val="30"/>
        </w:rPr>
        <w:t xml:space="preserve"> pacientes con </w:t>
      </w:r>
      <w:r>
        <w:rPr>
          <w:rFonts w:ascii="Arial" w:hAnsi="Arial" w:cs="Arial"/>
          <w:b/>
          <w:bCs/>
          <w:sz w:val="30"/>
          <w:szCs w:val="30"/>
        </w:rPr>
        <w:t>lesión</w:t>
      </w:r>
      <w:r w:rsidR="00E6198A" w:rsidRPr="00FD44EE">
        <w:rPr>
          <w:rFonts w:ascii="Arial" w:hAnsi="Arial" w:cs="Arial"/>
          <w:b/>
          <w:bCs/>
          <w:sz w:val="30"/>
          <w:szCs w:val="30"/>
        </w:rPr>
        <w:t xml:space="preserve"> renal aguda prer</w:t>
      </w:r>
      <w:r w:rsidR="001A2A3A" w:rsidRPr="00FD44EE">
        <w:rPr>
          <w:rFonts w:ascii="Arial" w:hAnsi="Arial" w:cs="Arial"/>
          <w:b/>
          <w:bCs/>
          <w:sz w:val="30"/>
          <w:szCs w:val="30"/>
        </w:rPr>
        <w:t>r</w:t>
      </w:r>
      <w:r w:rsidR="00E6198A" w:rsidRPr="00FD44EE">
        <w:rPr>
          <w:rFonts w:ascii="Arial" w:hAnsi="Arial" w:cs="Arial"/>
          <w:b/>
          <w:bCs/>
          <w:sz w:val="30"/>
          <w:szCs w:val="30"/>
        </w:rPr>
        <w:t>enal</w:t>
      </w:r>
    </w:p>
    <w:p w:rsidR="00F515E8" w:rsidRPr="00FD44EE" w:rsidRDefault="0015301E" w:rsidP="00F5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sz w:val="30"/>
          <w:szCs w:val="30"/>
          <w:lang w:val="en-US"/>
        </w:rPr>
      </w:pPr>
      <w:r>
        <w:rPr>
          <w:rFonts w:ascii="Arial" w:eastAsia="Times New Roman" w:hAnsi="Arial" w:cs="Arial"/>
          <w:b/>
          <w:sz w:val="30"/>
          <w:szCs w:val="30"/>
          <w:lang w:val="en-US"/>
        </w:rPr>
        <w:t xml:space="preserve">Short-term prognostic mortality index in patients with </w:t>
      </w:r>
      <w:proofErr w:type="spellStart"/>
      <w:r>
        <w:rPr>
          <w:rFonts w:ascii="Arial" w:eastAsia="Times New Roman" w:hAnsi="Arial" w:cs="Arial"/>
          <w:b/>
          <w:sz w:val="30"/>
          <w:szCs w:val="30"/>
          <w:lang w:val="en-US"/>
        </w:rPr>
        <w:t>prerenal</w:t>
      </w:r>
      <w:proofErr w:type="spellEnd"/>
      <w:r>
        <w:rPr>
          <w:rFonts w:ascii="Arial" w:eastAsia="Times New Roman" w:hAnsi="Arial" w:cs="Arial"/>
          <w:b/>
          <w:sz w:val="30"/>
          <w:szCs w:val="30"/>
          <w:lang w:val="en-US"/>
        </w:rPr>
        <w:t xml:space="preserve"> acute kidney injury</w:t>
      </w:r>
    </w:p>
    <w:p w:rsidR="00F515E8" w:rsidRDefault="00F515E8" w:rsidP="00A70258">
      <w:pPr>
        <w:autoSpaceDE w:val="0"/>
        <w:autoSpaceDN w:val="0"/>
        <w:adjustRightInd w:val="0"/>
        <w:spacing w:before="120" w:after="120" w:line="240" w:lineRule="auto"/>
        <w:jc w:val="both"/>
        <w:rPr>
          <w:rFonts w:ascii="Arial" w:hAnsi="Arial" w:cs="Arial"/>
          <w:b/>
          <w:bCs/>
          <w:sz w:val="32"/>
          <w:szCs w:val="32"/>
          <w:lang w:val="en-US"/>
        </w:rPr>
      </w:pPr>
    </w:p>
    <w:p w:rsidR="00AF5250" w:rsidRPr="00402173" w:rsidRDefault="00A70258" w:rsidP="00A70258">
      <w:pPr>
        <w:autoSpaceDE w:val="0"/>
        <w:autoSpaceDN w:val="0"/>
        <w:adjustRightInd w:val="0"/>
        <w:spacing w:before="120" w:after="120" w:line="240" w:lineRule="auto"/>
        <w:jc w:val="both"/>
        <w:rPr>
          <w:rFonts w:ascii="Arial" w:hAnsi="Arial" w:cs="Arial"/>
          <w:sz w:val="24"/>
          <w:szCs w:val="24"/>
          <w:lang w:val="es-ES_tradnl"/>
        </w:rPr>
      </w:pPr>
      <w:r w:rsidRPr="00402173">
        <w:rPr>
          <w:rFonts w:ascii="Arial" w:hAnsi="Arial" w:cs="Arial"/>
          <w:b/>
          <w:bCs/>
          <w:sz w:val="24"/>
          <w:szCs w:val="24"/>
          <w:lang w:val="pt-BR"/>
        </w:rPr>
        <w:t>Autor</w:t>
      </w:r>
      <w:r w:rsidR="00402173" w:rsidRPr="00402173">
        <w:rPr>
          <w:rFonts w:ascii="Arial" w:hAnsi="Arial" w:cs="Arial"/>
          <w:b/>
          <w:bCs/>
          <w:sz w:val="24"/>
          <w:szCs w:val="24"/>
          <w:lang w:val="pt-BR"/>
        </w:rPr>
        <w:t>a</w:t>
      </w:r>
      <w:r w:rsidRPr="00402173">
        <w:rPr>
          <w:rFonts w:ascii="Arial" w:hAnsi="Arial" w:cs="Arial"/>
          <w:b/>
          <w:bCs/>
          <w:sz w:val="24"/>
          <w:szCs w:val="24"/>
          <w:lang w:val="pt-BR"/>
        </w:rPr>
        <w:t xml:space="preserve">: </w:t>
      </w:r>
      <w:r w:rsidR="007261EE" w:rsidRPr="00402173">
        <w:rPr>
          <w:rFonts w:ascii="Arial" w:hAnsi="Arial" w:cs="Arial"/>
          <w:bCs/>
          <w:sz w:val="24"/>
          <w:szCs w:val="24"/>
          <w:lang w:val="pt-BR"/>
        </w:rPr>
        <w:t>Beatriz Ricardo Paez</w:t>
      </w:r>
      <w:r w:rsidRPr="00402173">
        <w:rPr>
          <w:rFonts w:ascii="Arial" w:hAnsi="Arial" w:cs="Arial"/>
          <w:sz w:val="24"/>
          <w:szCs w:val="24"/>
          <w:lang w:val="es-ES_tradnl"/>
        </w:rPr>
        <w:t>*</w:t>
      </w:r>
      <w:r w:rsidR="007261EE" w:rsidRPr="00402173">
        <w:rPr>
          <w:rFonts w:ascii="Arial" w:hAnsi="Arial" w:cs="Arial"/>
          <w:sz w:val="24"/>
          <w:szCs w:val="24"/>
          <w:lang w:val="es-ES_tradnl"/>
        </w:rPr>
        <w:t xml:space="preserve">      </w:t>
      </w:r>
    </w:p>
    <w:p w:rsidR="00402173" w:rsidRPr="00402173" w:rsidRDefault="00402173" w:rsidP="00A70258">
      <w:pPr>
        <w:autoSpaceDE w:val="0"/>
        <w:autoSpaceDN w:val="0"/>
        <w:adjustRightInd w:val="0"/>
        <w:spacing w:before="120" w:after="120" w:line="240" w:lineRule="auto"/>
        <w:jc w:val="both"/>
        <w:rPr>
          <w:rFonts w:ascii="Arial" w:hAnsi="Arial" w:cs="Arial"/>
          <w:b/>
          <w:sz w:val="24"/>
          <w:szCs w:val="24"/>
          <w:lang w:val="es-ES_tradnl"/>
        </w:rPr>
      </w:pPr>
    </w:p>
    <w:p w:rsidR="00A70258" w:rsidRPr="00402173" w:rsidRDefault="00A70258" w:rsidP="00A70258">
      <w:pPr>
        <w:autoSpaceDE w:val="0"/>
        <w:autoSpaceDN w:val="0"/>
        <w:adjustRightInd w:val="0"/>
        <w:spacing w:before="120" w:after="120" w:line="240" w:lineRule="auto"/>
        <w:jc w:val="both"/>
        <w:rPr>
          <w:rFonts w:ascii="Arial" w:hAnsi="Arial" w:cs="Arial"/>
          <w:sz w:val="24"/>
          <w:szCs w:val="24"/>
          <w:lang w:val="es-ES_tradnl"/>
        </w:rPr>
      </w:pPr>
      <w:r w:rsidRPr="00402173">
        <w:rPr>
          <w:rFonts w:ascii="Arial" w:hAnsi="Arial" w:cs="Arial"/>
          <w:b/>
          <w:sz w:val="24"/>
          <w:szCs w:val="24"/>
          <w:lang w:val="es-ES_tradnl"/>
        </w:rPr>
        <w:t>Tutor</w:t>
      </w:r>
      <w:r w:rsidR="00402173" w:rsidRPr="00402173">
        <w:rPr>
          <w:rFonts w:ascii="Arial" w:hAnsi="Arial" w:cs="Arial"/>
          <w:b/>
          <w:sz w:val="24"/>
          <w:szCs w:val="24"/>
          <w:lang w:val="es-ES_tradnl"/>
        </w:rPr>
        <w:t>a</w:t>
      </w:r>
      <w:r w:rsidRPr="00402173">
        <w:rPr>
          <w:rFonts w:ascii="Arial" w:hAnsi="Arial" w:cs="Arial"/>
          <w:sz w:val="24"/>
          <w:szCs w:val="24"/>
          <w:lang w:val="es-ES_tradnl"/>
        </w:rPr>
        <w:t>: Dra. Zo</w:t>
      </w:r>
      <w:r w:rsidR="00E6198A" w:rsidRPr="00402173">
        <w:rPr>
          <w:rFonts w:ascii="Arial" w:hAnsi="Arial" w:cs="Arial"/>
          <w:sz w:val="24"/>
          <w:szCs w:val="24"/>
          <w:lang w:val="es-ES_tradnl"/>
        </w:rPr>
        <w:t>raida Caridad González Milán**</w:t>
      </w:r>
    </w:p>
    <w:p w:rsidR="007261EE" w:rsidRPr="002B6CDB" w:rsidRDefault="007261EE" w:rsidP="00A70258">
      <w:pPr>
        <w:autoSpaceDE w:val="0"/>
        <w:autoSpaceDN w:val="0"/>
        <w:adjustRightInd w:val="0"/>
        <w:spacing w:before="120" w:after="120" w:line="240" w:lineRule="auto"/>
        <w:jc w:val="both"/>
        <w:rPr>
          <w:rFonts w:ascii="Arial" w:hAnsi="Arial" w:cs="Arial"/>
          <w:lang w:val="es-ES_tradnl"/>
        </w:rPr>
      </w:pPr>
      <w:r>
        <w:rPr>
          <w:rFonts w:ascii="Arial" w:hAnsi="Arial" w:cs="Arial"/>
          <w:lang w:val="es-ES_tradnl"/>
        </w:rPr>
        <w:t xml:space="preserve">               </w:t>
      </w:r>
    </w:p>
    <w:p w:rsidR="00F70DC6" w:rsidRDefault="00F70DC6" w:rsidP="00D5410A">
      <w:pPr>
        <w:autoSpaceDE w:val="0"/>
        <w:autoSpaceDN w:val="0"/>
        <w:adjustRightInd w:val="0"/>
        <w:spacing w:before="120" w:after="120" w:line="240" w:lineRule="auto"/>
        <w:jc w:val="both"/>
        <w:rPr>
          <w:rFonts w:ascii="Arial" w:hAnsi="Arial" w:cs="Arial"/>
          <w:lang w:val="es-ES_tradnl"/>
        </w:rPr>
      </w:pPr>
    </w:p>
    <w:p w:rsidR="00A70258" w:rsidRPr="00402173" w:rsidRDefault="00A70258" w:rsidP="00402173">
      <w:pPr>
        <w:autoSpaceDE w:val="0"/>
        <w:autoSpaceDN w:val="0"/>
        <w:adjustRightInd w:val="0"/>
        <w:spacing w:before="120" w:after="120" w:line="360" w:lineRule="auto"/>
        <w:jc w:val="both"/>
        <w:rPr>
          <w:rFonts w:ascii="Arial" w:hAnsi="Arial" w:cs="Arial"/>
          <w:sz w:val="24"/>
          <w:szCs w:val="24"/>
          <w:lang w:val="es-ES_tradnl"/>
        </w:rPr>
      </w:pPr>
      <w:r w:rsidRPr="00402173">
        <w:rPr>
          <w:rFonts w:ascii="Arial" w:hAnsi="Arial" w:cs="Arial"/>
          <w:sz w:val="24"/>
          <w:szCs w:val="24"/>
          <w:lang w:val="es-ES_tradnl"/>
        </w:rPr>
        <w:t xml:space="preserve">*Estudiante de </w:t>
      </w:r>
      <w:r w:rsidR="00402173" w:rsidRPr="00402173">
        <w:rPr>
          <w:rFonts w:ascii="Arial" w:hAnsi="Arial" w:cs="Arial"/>
          <w:sz w:val="24"/>
          <w:szCs w:val="24"/>
          <w:lang w:val="es-ES_tradnl"/>
        </w:rPr>
        <w:t>5</w:t>
      </w:r>
      <w:r w:rsidR="00402173" w:rsidRPr="00402173">
        <w:rPr>
          <w:rFonts w:ascii="Arial" w:hAnsi="Arial" w:cs="Arial"/>
          <w:sz w:val="24"/>
          <w:szCs w:val="24"/>
          <w:vertAlign w:val="superscript"/>
          <w:lang w:val="es-ES_tradnl"/>
        </w:rPr>
        <w:t>to</w:t>
      </w:r>
      <w:r w:rsidRPr="00402173">
        <w:rPr>
          <w:rFonts w:ascii="Arial" w:hAnsi="Arial" w:cs="Arial"/>
          <w:sz w:val="24"/>
          <w:szCs w:val="24"/>
          <w:lang w:val="es-ES_tradnl"/>
        </w:rPr>
        <w:t xml:space="preserve"> año de Medicina. Alumn</w:t>
      </w:r>
      <w:r w:rsidR="007261EE" w:rsidRPr="00402173">
        <w:rPr>
          <w:rFonts w:ascii="Arial" w:hAnsi="Arial" w:cs="Arial"/>
          <w:sz w:val="24"/>
          <w:szCs w:val="24"/>
          <w:lang w:val="es-ES_tradnl"/>
        </w:rPr>
        <w:t>a</w:t>
      </w:r>
      <w:r w:rsidRPr="00402173">
        <w:rPr>
          <w:rFonts w:ascii="Arial" w:hAnsi="Arial" w:cs="Arial"/>
          <w:sz w:val="24"/>
          <w:szCs w:val="24"/>
          <w:lang w:val="es-ES_tradnl"/>
        </w:rPr>
        <w:t xml:space="preserve"> ayudante de  Nefrología.</w:t>
      </w:r>
    </w:p>
    <w:p w:rsidR="00E6198A" w:rsidRPr="00402173" w:rsidRDefault="00402173" w:rsidP="00402173">
      <w:pPr>
        <w:tabs>
          <w:tab w:val="left" w:pos="3285"/>
        </w:tabs>
        <w:spacing w:before="120" w:after="120" w:line="360" w:lineRule="auto"/>
        <w:jc w:val="both"/>
        <w:rPr>
          <w:rFonts w:ascii="Arial" w:hAnsi="Arial" w:cs="Arial"/>
          <w:sz w:val="24"/>
          <w:szCs w:val="24"/>
        </w:rPr>
      </w:pPr>
      <w:r w:rsidRPr="00402173">
        <w:rPr>
          <w:rFonts w:ascii="Arial" w:hAnsi="Arial" w:cs="Arial"/>
          <w:b/>
          <w:bCs/>
          <w:color w:val="000000"/>
          <w:sz w:val="24"/>
          <w:szCs w:val="24"/>
          <w:lang w:val="es-ES_tradnl"/>
        </w:rPr>
        <w:t>*</w:t>
      </w:r>
      <w:r w:rsidR="00F70DC6" w:rsidRPr="00402173">
        <w:rPr>
          <w:rFonts w:ascii="Arial" w:hAnsi="Arial" w:cs="Arial"/>
          <w:b/>
          <w:bCs/>
          <w:color w:val="000000"/>
          <w:sz w:val="24"/>
          <w:szCs w:val="24"/>
          <w:lang w:val="es-ES_tradnl"/>
        </w:rPr>
        <w:t>*</w:t>
      </w:r>
      <w:r w:rsidR="00A70258" w:rsidRPr="00402173">
        <w:rPr>
          <w:rFonts w:ascii="Arial" w:hAnsi="Arial" w:cs="Arial"/>
          <w:sz w:val="24"/>
          <w:szCs w:val="24"/>
        </w:rPr>
        <w:t xml:space="preserve">Especialista I grado </w:t>
      </w:r>
      <w:r>
        <w:rPr>
          <w:rFonts w:ascii="Arial" w:hAnsi="Arial" w:cs="Arial"/>
          <w:sz w:val="24"/>
          <w:szCs w:val="24"/>
        </w:rPr>
        <w:t>en</w:t>
      </w:r>
      <w:r w:rsidR="00A70258" w:rsidRPr="00402173">
        <w:rPr>
          <w:rFonts w:ascii="Arial" w:hAnsi="Arial" w:cs="Arial"/>
          <w:sz w:val="24"/>
          <w:szCs w:val="24"/>
        </w:rPr>
        <w:t xml:space="preserve"> Medicina General Integral, I</w:t>
      </w:r>
      <w:r w:rsidR="007261EE" w:rsidRPr="00402173">
        <w:rPr>
          <w:rFonts w:ascii="Arial" w:hAnsi="Arial" w:cs="Arial"/>
          <w:sz w:val="24"/>
          <w:szCs w:val="24"/>
        </w:rPr>
        <w:t>I</w:t>
      </w:r>
      <w:r w:rsidR="00A70258" w:rsidRPr="00402173">
        <w:rPr>
          <w:rFonts w:ascii="Arial" w:hAnsi="Arial" w:cs="Arial"/>
          <w:sz w:val="24"/>
          <w:szCs w:val="24"/>
        </w:rPr>
        <w:t xml:space="preserve"> grado </w:t>
      </w:r>
      <w:r>
        <w:rPr>
          <w:rFonts w:ascii="Arial" w:hAnsi="Arial" w:cs="Arial"/>
          <w:sz w:val="24"/>
          <w:szCs w:val="24"/>
        </w:rPr>
        <w:t>en</w:t>
      </w:r>
      <w:r w:rsidR="00A70258" w:rsidRPr="00402173">
        <w:rPr>
          <w:rFonts w:ascii="Arial" w:hAnsi="Arial" w:cs="Arial"/>
          <w:sz w:val="24"/>
          <w:szCs w:val="24"/>
        </w:rPr>
        <w:t xml:space="preserve"> Nefrología. </w:t>
      </w:r>
      <w:r>
        <w:rPr>
          <w:rFonts w:ascii="Arial" w:hAnsi="Arial" w:cs="Arial"/>
          <w:sz w:val="24"/>
          <w:szCs w:val="24"/>
        </w:rPr>
        <w:t>Máster</w:t>
      </w:r>
      <w:r w:rsidR="00A70258" w:rsidRPr="00402173">
        <w:rPr>
          <w:rFonts w:ascii="Arial" w:hAnsi="Arial" w:cs="Arial"/>
          <w:sz w:val="24"/>
          <w:szCs w:val="24"/>
        </w:rPr>
        <w:t xml:space="preserve"> en Longevidad </w:t>
      </w:r>
      <w:r>
        <w:rPr>
          <w:rFonts w:ascii="Arial" w:hAnsi="Arial" w:cs="Arial"/>
          <w:sz w:val="24"/>
          <w:szCs w:val="24"/>
        </w:rPr>
        <w:t>S</w:t>
      </w:r>
      <w:r w:rsidR="00A70258" w:rsidRPr="00402173">
        <w:rPr>
          <w:rFonts w:ascii="Arial" w:hAnsi="Arial" w:cs="Arial"/>
          <w:sz w:val="24"/>
          <w:szCs w:val="24"/>
        </w:rPr>
        <w:t xml:space="preserve">atisfactoria. Profesor </w:t>
      </w:r>
      <w:r>
        <w:rPr>
          <w:rFonts w:ascii="Arial" w:hAnsi="Arial" w:cs="Arial"/>
          <w:sz w:val="24"/>
          <w:szCs w:val="24"/>
        </w:rPr>
        <w:t>auxiliar</w:t>
      </w:r>
      <w:r w:rsidR="00A70258" w:rsidRPr="00402173">
        <w:rPr>
          <w:rFonts w:ascii="Arial" w:hAnsi="Arial" w:cs="Arial"/>
          <w:sz w:val="24"/>
          <w:szCs w:val="24"/>
        </w:rPr>
        <w:t>.</w:t>
      </w:r>
      <w:r w:rsidR="007261EE" w:rsidRPr="00402173">
        <w:rPr>
          <w:rFonts w:ascii="Arial" w:hAnsi="Arial" w:cs="Arial"/>
          <w:sz w:val="24"/>
          <w:szCs w:val="24"/>
        </w:rPr>
        <w:t xml:space="preserve"> Investigador Agregado</w:t>
      </w:r>
    </w:p>
    <w:p w:rsidR="00402173" w:rsidRDefault="00402173" w:rsidP="0079212E">
      <w:pPr>
        <w:jc w:val="center"/>
        <w:rPr>
          <w:rFonts w:ascii="Arial" w:hAnsi="Arial" w:cs="Arial"/>
          <w:b/>
          <w:bCs/>
          <w:sz w:val="24"/>
          <w:szCs w:val="24"/>
          <w:lang w:val="es-ES_tradnl"/>
        </w:rPr>
      </w:pPr>
    </w:p>
    <w:p w:rsidR="00402173" w:rsidRDefault="00402173" w:rsidP="0079212E">
      <w:pPr>
        <w:jc w:val="center"/>
        <w:rPr>
          <w:rFonts w:ascii="Arial" w:hAnsi="Arial" w:cs="Arial"/>
          <w:b/>
          <w:bCs/>
          <w:sz w:val="24"/>
          <w:szCs w:val="24"/>
          <w:lang w:val="es-ES_tradnl"/>
        </w:rPr>
      </w:pPr>
    </w:p>
    <w:p w:rsidR="00D5410A" w:rsidRPr="00402173" w:rsidRDefault="00A70258" w:rsidP="0079212E">
      <w:pPr>
        <w:jc w:val="center"/>
        <w:rPr>
          <w:rFonts w:ascii="Arial" w:hAnsi="Arial" w:cs="Arial"/>
          <w:b/>
          <w:bCs/>
          <w:sz w:val="24"/>
          <w:szCs w:val="24"/>
          <w:lang w:val="es-ES_tradnl"/>
        </w:rPr>
      </w:pPr>
      <w:r w:rsidRPr="00402173">
        <w:rPr>
          <w:rFonts w:ascii="Arial" w:hAnsi="Arial" w:cs="Arial"/>
          <w:b/>
          <w:bCs/>
          <w:sz w:val="24"/>
          <w:szCs w:val="24"/>
          <w:lang w:val="es-ES_tradnl"/>
        </w:rPr>
        <w:t>Las Tunas, 20</w:t>
      </w:r>
      <w:r w:rsidR="00F70DC6" w:rsidRPr="00402173">
        <w:rPr>
          <w:rFonts w:ascii="Arial" w:hAnsi="Arial" w:cs="Arial"/>
          <w:b/>
          <w:bCs/>
          <w:sz w:val="24"/>
          <w:szCs w:val="24"/>
          <w:lang w:val="es-ES_tradnl"/>
        </w:rPr>
        <w:t>2</w:t>
      </w:r>
      <w:r w:rsidR="00402173">
        <w:rPr>
          <w:rFonts w:ascii="Arial" w:hAnsi="Arial" w:cs="Arial"/>
          <w:b/>
          <w:bCs/>
          <w:sz w:val="24"/>
          <w:szCs w:val="24"/>
          <w:lang w:val="es-ES_tradnl"/>
        </w:rPr>
        <w:t>3</w:t>
      </w:r>
    </w:p>
    <w:p w:rsidR="00D5410A" w:rsidRPr="00402173" w:rsidRDefault="00A70258" w:rsidP="0079212E">
      <w:pPr>
        <w:jc w:val="center"/>
        <w:rPr>
          <w:rFonts w:ascii="Arial" w:hAnsi="Arial" w:cs="Arial"/>
          <w:b/>
          <w:bCs/>
          <w:sz w:val="24"/>
          <w:szCs w:val="24"/>
          <w:lang w:val="es-ES_tradnl"/>
        </w:rPr>
      </w:pPr>
      <w:r w:rsidRPr="00402173">
        <w:rPr>
          <w:rFonts w:ascii="Arial" w:hAnsi="Arial" w:cs="Arial"/>
          <w:b/>
          <w:bCs/>
          <w:sz w:val="24"/>
          <w:szCs w:val="24"/>
          <w:lang w:val="es-ES_tradnl"/>
        </w:rPr>
        <w:t>Año 6</w:t>
      </w:r>
      <w:r w:rsidR="00402173">
        <w:rPr>
          <w:rFonts w:ascii="Arial" w:hAnsi="Arial" w:cs="Arial"/>
          <w:b/>
          <w:bCs/>
          <w:sz w:val="24"/>
          <w:szCs w:val="24"/>
          <w:lang w:val="es-ES_tradnl"/>
        </w:rPr>
        <w:t>5</w:t>
      </w:r>
      <w:r w:rsidRPr="00402173">
        <w:rPr>
          <w:rFonts w:ascii="Arial" w:hAnsi="Arial" w:cs="Arial"/>
          <w:b/>
          <w:bCs/>
          <w:sz w:val="24"/>
          <w:szCs w:val="24"/>
          <w:lang w:val="es-ES_tradnl"/>
        </w:rPr>
        <w:t xml:space="preserve"> de la Revolución</w:t>
      </w:r>
    </w:p>
    <w:p w:rsidR="003F043C" w:rsidRDefault="003F043C" w:rsidP="001026A1">
      <w:pPr>
        <w:jc w:val="center"/>
        <w:rPr>
          <w:rFonts w:ascii="Arial" w:hAnsi="Arial" w:cs="Arial"/>
          <w:b/>
          <w:sz w:val="24"/>
          <w:szCs w:val="24"/>
        </w:rPr>
      </w:pPr>
      <w:r>
        <w:rPr>
          <w:rFonts w:ascii="Arial" w:hAnsi="Arial" w:cs="Arial"/>
          <w:b/>
          <w:sz w:val="24"/>
          <w:szCs w:val="24"/>
        </w:rPr>
        <w:lastRenderedPageBreak/>
        <w:t>RESUMEN:</w:t>
      </w:r>
    </w:p>
    <w:p w:rsidR="00A05011" w:rsidRDefault="00D86446" w:rsidP="003F043C">
      <w:pPr>
        <w:spacing w:line="360" w:lineRule="auto"/>
        <w:jc w:val="both"/>
        <w:rPr>
          <w:rFonts w:ascii="Arial" w:hAnsi="Arial" w:cs="Arial"/>
          <w:sz w:val="24"/>
          <w:szCs w:val="24"/>
        </w:rPr>
      </w:pPr>
      <w:r>
        <w:rPr>
          <w:rFonts w:ascii="Arial" w:hAnsi="Arial" w:cs="Arial"/>
          <w:b/>
          <w:sz w:val="24"/>
          <w:szCs w:val="24"/>
        </w:rPr>
        <w:t>Introducción:</w:t>
      </w:r>
      <w:r>
        <w:rPr>
          <w:rFonts w:ascii="Arial" w:hAnsi="Arial" w:cs="Arial"/>
          <w:sz w:val="24"/>
          <w:szCs w:val="24"/>
        </w:rPr>
        <w:t xml:space="preserve"> La</w:t>
      </w:r>
      <w:r w:rsidR="003F043C">
        <w:rPr>
          <w:rFonts w:ascii="Arial" w:hAnsi="Arial" w:cs="Arial"/>
          <w:sz w:val="24"/>
          <w:szCs w:val="24"/>
        </w:rPr>
        <w:t xml:space="preserve"> </w:t>
      </w:r>
      <w:r w:rsidR="00911D3E">
        <w:rPr>
          <w:rFonts w:ascii="Arial" w:hAnsi="Arial" w:cs="Arial"/>
          <w:sz w:val="24"/>
          <w:szCs w:val="24"/>
        </w:rPr>
        <w:t>lesión</w:t>
      </w:r>
      <w:r w:rsidR="003F043C">
        <w:rPr>
          <w:rFonts w:ascii="Arial" w:hAnsi="Arial" w:cs="Arial"/>
          <w:sz w:val="24"/>
          <w:szCs w:val="24"/>
        </w:rPr>
        <w:t xml:space="preserve"> renal aguda prer</w:t>
      </w:r>
      <w:r w:rsidR="00E30FF4">
        <w:rPr>
          <w:rFonts w:ascii="Arial" w:hAnsi="Arial" w:cs="Arial"/>
          <w:sz w:val="24"/>
          <w:szCs w:val="24"/>
        </w:rPr>
        <w:t>r</w:t>
      </w:r>
      <w:r w:rsidR="003F043C">
        <w:rPr>
          <w:rFonts w:ascii="Arial" w:hAnsi="Arial" w:cs="Arial"/>
          <w:sz w:val="24"/>
          <w:szCs w:val="24"/>
        </w:rPr>
        <w:t xml:space="preserve">enal constituye un diagnóstico frecuente en la práctica nefrológica actual. </w:t>
      </w:r>
      <w:r w:rsidR="00016133">
        <w:rPr>
          <w:rFonts w:ascii="Arial" w:hAnsi="Arial" w:cs="Arial"/>
          <w:sz w:val="24"/>
          <w:szCs w:val="24"/>
        </w:rPr>
        <w:t xml:space="preserve">Establecer </w:t>
      </w:r>
      <w:r w:rsidR="00582598">
        <w:rPr>
          <w:rFonts w:ascii="Arial" w:hAnsi="Arial" w:cs="Arial"/>
          <w:sz w:val="24"/>
          <w:szCs w:val="24"/>
        </w:rPr>
        <w:t>pronósticos</w:t>
      </w:r>
      <w:r w:rsidR="00016133">
        <w:rPr>
          <w:rFonts w:ascii="Arial" w:hAnsi="Arial" w:cs="Arial"/>
          <w:sz w:val="24"/>
          <w:szCs w:val="24"/>
        </w:rPr>
        <w:t xml:space="preserve"> adecuado</w:t>
      </w:r>
      <w:r w:rsidR="00582598">
        <w:rPr>
          <w:rFonts w:ascii="Arial" w:hAnsi="Arial" w:cs="Arial"/>
          <w:sz w:val="24"/>
          <w:szCs w:val="24"/>
        </w:rPr>
        <w:t>s</w:t>
      </w:r>
      <w:r w:rsidR="00016133">
        <w:rPr>
          <w:rFonts w:ascii="Arial" w:hAnsi="Arial" w:cs="Arial"/>
          <w:sz w:val="24"/>
          <w:szCs w:val="24"/>
        </w:rPr>
        <w:t xml:space="preserve"> en estos pacientes facilita la elección de conductas certeras</w:t>
      </w:r>
      <w:r w:rsidR="003F043C">
        <w:rPr>
          <w:rFonts w:ascii="Arial" w:hAnsi="Arial" w:cs="Arial"/>
          <w:sz w:val="24"/>
          <w:szCs w:val="24"/>
        </w:rPr>
        <w:t xml:space="preserve">. </w:t>
      </w:r>
    </w:p>
    <w:p w:rsidR="00A05011" w:rsidRDefault="00D86446" w:rsidP="003F043C">
      <w:pPr>
        <w:spacing w:line="360" w:lineRule="auto"/>
        <w:jc w:val="both"/>
        <w:rPr>
          <w:rFonts w:ascii="Arial" w:hAnsi="Arial" w:cs="Arial"/>
          <w:b/>
          <w:sz w:val="24"/>
          <w:szCs w:val="24"/>
        </w:rPr>
      </w:pPr>
      <w:r w:rsidRPr="003F043C">
        <w:rPr>
          <w:rFonts w:ascii="Arial" w:hAnsi="Arial" w:cs="Arial"/>
          <w:b/>
          <w:sz w:val="24"/>
          <w:szCs w:val="24"/>
        </w:rPr>
        <w:t>Objetivo:</w:t>
      </w:r>
      <w:r>
        <w:rPr>
          <w:rFonts w:ascii="Arial" w:hAnsi="Arial" w:cs="Arial"/>
          <w:sz w:val="24"/>
          <w:szCs w:val="24"/>
        </w:rPr>
        <w:t xml:space="preserve"> Determinar</w:t>
      </w:r>
      <w:r w:rsidR="003F043C">
        <w:rPr>
          <w:rFonts w:ascii="Arial" w:hAnsi="Arial" w:cs="Arial"/>
          <w:sz w:val="24"/>
          <w:szCs w:val="24"/>
        </w:rPr>
        <w:t xml:space="preserve"> el valor pronóstico de mortalidad a corto plazo del cociente urea/creatinina en pacientes con </w:t>
      </w:r>
      <w:r w:rsidR="00911D3E">
        <w:rPr>
          <w:rFonts w:ascii="Arial" w:hAnsi="Arial" w:cs="Arial"/>
          <w:sz w:val="24"/>
          <w:szCs w:val="24"/>
        </w:rPr>
        <w:t>lesión</w:t>
      </w:r>
      <w:r>
        <w:rPr>
          <w:rFonts w:ascii="Arial" w:hAnsi="Arial" w:cs="Arial"/>
          <w:sz w:val="24"/>
          <w:szCs w:val="24"/>
        </w:rPr>
        <w:t xml:space="preserve"> renal aguda prer</w:t>
      </w:r>
      <w:r w:rsidR="00E30FF4">
        <w:rPr>
          <w:rFonts w:ascii="Arial" w:hAnsi="Arial" w:cs="Arial"/>
          <w:sz w:val="24"/>
          <w:szCs w:val="24"/>
        </w:rPr>
        <w:t>r</w:t>
      </w:r>
      <w:r>
        <w:rPr>
          <w:rFonts w:ascii="Arial" w:hAnsi="Arial" w:cs="Arial"/>
          <w:sz w:val="24"/>
          <w:szCs w:val="24"/>
        </w:rPr>
        <w:t>enal.</w:t>
      </w:r>
      <w:r w:rsidR="003F043C">
        <w:rPr>
          <w:rFonts w:ascii="Arial" w:hAnsi="Arial" w:cs="Arial"/>
          <w:b/>
          <w:sz w:val="24"/>
          <w:szCs w:val="24"/>
        </w:rPr>
        <w:t xml:space="preserve"> </w:t>
      </w:r>
    </w:p>
    <w:p w:rsidR="00A05011" w:rsidRDefault="00D86446" w:rsidP="003F043C">
      <w:pPr>
        <w:spacing w:line="360" w:lineRule="auto"/>
        <w:jc w:val="both"/>
        <w:rPr>
          <w:rFonts w:ascii="Arial" w:hAnsi="Arial" w:cs="Arial"/>
          <w:sz w:val="24"/>
          <w:szCs w:val="24"/>
        </w:rPr>
      </w:pPr>
      <w:r>
        <w:rPr>
          <w:rFonts w:ascii="Arial" w:hAnsi="Arial" w:cs="Arial"/>
          <w:b/>
          <w:sz w:val="24"/>
          <w:szCs w:val="24"/>
        </w:rPr>
        <w:t xml:space="preserve">Diseño metodológico: </w:t>
      </w:r>
      <w:r>
        <w:rPr>
          <w:rFonts w:ascii="Arial" w:hAnsi="Arial" w:cs="Arial"/>
          <w:sz w:val="24"/>
          <w:szCs w:val="24"/>
        </w:rPr>
        <w:t xml:space="preserve">Se realizó un estudio observacional analítico de cohorte </w:t>
      </w:r>
      <w:r w:rsidR="00D67044">
        <w:rPr>
          <w:rFonts w:ascii="Arial" w:hAnsi="Arial" w:cs="Arial"/>
          <w:sz w:val="24"/>
          <w:szCs w:val="24"/>
        </w:rPr>
        <w:t>prospectivo</w:t>
      </w:r>
      <w:r>
        <w:rPr>
          <w:rFonts w:ascii="Arial" w:hAnsi="Arial" w:cs="Arial"/>
          <w:sz w:val="24"/>
          <w:szCs w:val="24"/>
        </w:rPr>
        <w:t xml:space="preserve"> en 2</w:t>
      </w:r>
      <w:r w:rsidR="00D67044">
        <w:rPr>
          <w:rFonts w:ascii="Arial" w:hAnsi="Arial" w:cs="Arial"/>
          <w:sz w:val="24"/>
          <w:szCs w:val="24"/>
        </w:rPr>
        <w:t>3</w:t>
      </w:r>
      <w:r>
        <w:rPr>
          <w:rFonts w:ascii="Arial" w:hAnsi="Arial" w:cs="Arial"/>
          <w:sz w:val="24"/>
          <w:szCs w:val="24"/>
        </w:rPr>
        <w:t xml:space="preserve">8 pacientes con </w:t>
      </w:r>
      <w:r w:rsidR="00911D3E">
        <w:rPr>
          <w:rFonts w:ascii="Arial" w:hAnsi="Arial" w:cs="Arial"/>
          <w:sz w:val="24"/>
          <w:szCs w:val="24"/>
        </w:rPr>
        <w:t>lesión</w:t>
      </w:r>
      <w:r>
        <w:rPr>
          <w:rFonts w:ascii="Arial" w:hAnsi="Arial" w:cs="Arial"/>
          <w:sz w:val="24"/>
          <w:szCs w:val="24"/>
        </w:rPr>
        <w:t xml:space="preserve"> renal aguda pre</w:t>
      </w:r>
      <w:r w:rsidR="00911D3E">
        <w:rPr>
          <w:rFonts w:ascii="Arial" w:hAnsi="Arial" w:cs="Arial"/>
          <w:sz w:val="24"/>
          <w:szCs w:val="24"/>
        </w:rPr>
        <w:t>r</w:t>
      </w:r>
      <w:r>
        <w:rPr>
          <w:rFonts w:ascii="Arial" w:hAnsi="Arial" w:cs="Arial"/>
          <w:sz w:val="24"/>
          <w:szCs w:val="24"/>
        </w:rPr>
        <w:t>renal, entre enero de 20</w:t>
      </w:r>
      <w:r w:rsidR="00911D3E">
        <w:rPr>
          <w:rFonts w:ascii="Arial" w:hAnsi="Arial" w:cs="Arial"/>
          <w:sz w:val="24"/>
          <w:szCs w:val="24"/>
        </w:rPr>
        <w:t>21</w:t>
      </w:r>
      <w:r>
        <w:rPr>
          <w:rFonts w:ascii="Arial" w:hAnsi="Arial" w:cs="Arial"/>
          <w:sz w:val="24"/>
          <w:szCs w:val="24"/>
        </w:rPr>
        <w:t xml:space="preserve"> y </w:t>
      </w:r>
      <w:r w:rsidR="00D67044">
        <w:rPr>
          <w:rFonts w:ascii="Arial" w:hAnsi="Arial" w:cs="Arial"/>
          <w:sz w:val="24"/>
          <w:szCs w:val="24"/>
        </w:rPr>
        <w:t>febrero</w:t>
      </w:r>
      <w:r>
        <w:rPr>
          <w:rFonts w:ascii="Arial" w:hAnsi="Arial" w:cs="Arial"/>
          <w:sz w:val="24"/>
          <w:szCs w:val="24"/>
        </w:rPr>
        <w:t xml:space="preserve"> de 20</w:t>
      </w:r>
      <w:r w:rsidR="00A95C5D">
        <w:rPr>
          <w:rFonts w:ascii="Arial" w:hAnsi="Arial" w:cs="Arial"/>
          <w:sz w:val="24"/>
          <w:szCs w:val="24"/>
        </w:rPr>
        <w:t>2</w:t>
      </w:r>
      <w:r w:rsidR="00911D3E">
        <w:rPr>
          <w:rFonts w:ascii="Arial" w:hAnsi="Arial" w:cs="Arial"/>
          <w:sz w:val="24"/>
          <w:szCs w:val="24"/>
        </w:rPr>
        <w:t>3</w:t>
      </w:r>
      <w:r>
        <w:rPr>
          <w:rFonts w:ascii="Arial" w:hAnsi="Arial" w:cs="Arial"/>
          <w:sz w:val="24"/>
          <w:szCs w:val="24"/>
        </w:rPr>
        <w:t xml:space="preserve">. Se utilizó el modelo de regresión de Cox para identificar los factores pronósticos </w:t>
      </w:r>
      <w:r w:rsidR="00C64771">
        <w:rPr>
          <w:rFonts w:ascii="Arial" w:hAnsi="Arial" w:cs="Arial"/>
          <w:sz w:val="24"/>
          <w:szCs w:val="24"/>
        </w:rPr>
        <w:t>independientes de mortalidad. Se construyeron curvas de supervivencia utilizando el método Kaplan-Meier</w:t>
      </w:r>
      <w:r w:rsidR="00582598">
        <w:rPr>
          <w:rFonts w:ascii="Arial" w:hAnsi="Arial" w:cs="Arial"/>
          <w:sz w:val="24"/>
          <w:szCs w:val="24"/>
        </w:rPr>
        <w:t xml:space="preserve">. </w:t>
      </w:r>
      <w:r w:rsidR="00C64771">
        <w:rPr>
          <w:rFonts w:ascii="Arial" w:hAnsi="Arial" w:cs="Arial"/>
          <w:sz w:val="24"/>
          <w:szCs w:val="24"/>
        </w:rPr>
        <w:t xml:space="preserve">El poder discriminatorio del cociente urea/creatinina como predictor de mortalidad se evaluó mediante el área bajo la curva ROC. Además se determinó el punto de corte óptimo. </w:t>
      </w:r>
    </w:p>
    <w:p w:rsidR="00A05011" w:rsidRDefault="00C64771" w:rsidP="003F043C">
      <w:pPr>
        <w:spacing w:line="360" w:lineRule="auto"/>
        <w:jc w:val="both"/>
        <w:rPr>
          <w:rFonts w:ascii="Arial" w:hAnsi="Arial" w:cs="Arial"/>
          <w:sz w:val="24"/>
          <w:szCs w:val="24"/>
        </w:rPr>
      </w:pPr>
      <w:r w:rsidRPr="00C64771">
        <w:rPr>
          <w:rFonts w:ascii="Arial" w:hAnsi="Arial" w:cs="Arial"/>
          <w:b/>
          <w:sz w:val="24"/>
          <w:szCs w:val="24"/>
        </w:rPr>
        <w:t xml:space="preserve">Resultados: </w:t>
      </w:r>
      <w:r w:rsidR="005A6CD8">
        <w:rPr>
          <w:rFonts w:ascii="Arial" w:hAnsi="Arial" w:cs="Arial"/>
          <w:sz w:val="24"/>
          <w:szCs w:val="24"/>
        </w:rPr>
        <w:t>Se analizaron 238 pacientes (mediana de edad, 5</w:t>
      </w:r>
      <w:r w:rsidR="00272D0E">
        <w:rPr>
          <w:rFonts w:ascii="Arial" w:hAnsi="Arial" w:cs="Arial"/>
          <w:sz w:val="24"/>
          <w:szCs w:val="24"/>
        </w:rPr>
        <w:t>6</w:t>
      </w:r>
      <w:r w:rsidR="005A6CD8">
        <w:rPr>
          <w:rFonts w:ascii="Arial" w:hAnsi="Arial" w:cs="Arial"/>
          <w:sz w:val="24"/>
          <w:szCs w:val="24"/>
        </w:rPr>
        <w:t xml:space="preserve"> años; 53,78% masculino; 44,54% hipertensos). La mortalidad fue de 38,66% y fue significativamente mayor en el tercer tertil (61,25%; p&lt;0,0001). Los pacientes fallecidos presentaron una mediana de</w:t>
      </w:r>
      <w:r w:rsidR="00582598">
        <w:rPr>
          <w:rFonts w:ascii="Arial" w:hAnsi="Arial" w:cs="Arial"/>
          <w:sz w:val="24"/>
          <w:szCs w:val="24"/>
        </w:rPr>
        <w:t>l</w:t>
      </w:r>
      <w:r w:rsidR="005A6CD8">
        <w:rPr>
          <w:rFonts w:ascii="Arial" w:hAnsi="Arial" w:cs="Arial"/>
          <w:sz w:val="24"/>
          <w:szCs w:val="24"/>
        </w:rPr>
        <w:t xml:space="preserve"> cociente significativamente mayor que los sobrevivientes (35 y 24,5, respectivamente; p&lt;0,0001). El poder discriminatorio fue muy bueno, índice C: 0,897 (IC 95%: 0,812-0,982) y el punto de corte se situó en 36,5. </w:t>
      </w:r>
      <w:r w:rsidR="00582598">
        <w:rPr>
          <w:rFonts w:ascii="Arial" w:hAnsi="Arial" w:cs="Arial"/>
          <w:sz w:val="24"/>
          <w:szCs w:val="24"/>
        </w:rPr>
        <w:t>Valores</w:t>
      </w:r>
      <w:r w:rsidR="005A6CD8">
        <w:rPr>
          <w:rFonts w:ascii="Arial" w:hAnsi="Arial" w:cs="Arial"/>
          <w:sz w:val="24"/>
          <w:szCs w:val="24"/>
        </w:rPr>
        <w:t xml:space="preserve"> mayor</w:t>
      </w:r>
      <w:r w:rsidR="00582598">
        <w:rPr>
          <w:rFonts w:ascii="Arial" w:hAnsi="Arial" w:cs="Arial"/>
          <w:sz w:val="24"/>
          <w:szCs w:val="24"/>
        </w:rPr>
        <w:t>es</w:t>
      </w:r>
      <w:r w:rsidR="005A6CD8">
        <w:rPr>
          <w:rFonts w:ascii="Arial" w:hAnsi="Arial" w:cs="Arial"/>
          <w:sz w:val="24"/>
          <w:szCs w:val="24"/>
        </w:rPr>
        <w:t xml:space="preserve"> a 36,5 se asoci</w:t>
      </w:r>
      <w:r w:rsidR="00582598">
        <w:rPr>
          <w:rFonts w:ascii="Arial" w:hAnsi="Arial" w:cs="Arial"/>
          <w:sz w:val="24"/>
          <w:szCs w:val="24"/>
        </w:rPr>
        <w:t>aron</w:t>
      </w:r>
      <w:r w:rsidR="005A6CD8">
        <w:rPr>
          <w:rFonts w:ascii="Arial" w:hAnsi="Arial" w:cs="Arial"/>
          <w:sz w:val="24"/>
          <w:szCs w:val="24"/>
        </w:rPr>
        <w:t xml:space="preserve"> a una supervivencia significativamente menor (37 vs. 89 horas; p&lt;0,0001) y fue un predictor independiente de mortalidad a corto plazo (HR: 2,215; IC 95%: 2,105-3,060; p&lt;0,0001). </w:t>
      </w:r>
    </w:p>
    <w:p w:rsidR="003F043C" w:rsidRPr="005A6CD8" w:rsidRDefault="009768FE" w:rsidP="003F043C">
      <w:pPr>
        <w:spacing w:line="360" w:lineRule="auto"/>
        <w:jc w:val="both"/>
        <w:rPr>
          <w:rFonts w:ascii="Arial" w:hAnsi="Arial" w:cs="Arial"/>
          <w:sz w:val="24"/>
          <w:szCs w:val="24"/>
        </w:rPr>
      </w:pPr>
      <w:r w:rsidRPr="009768FE">
        <w:rPr>
          <w:rFonts w:ascii="Arial" w:hAnsi="Arial" w:cs="Arial"/>
          <w:b/>
          <w:sz w:val="24"/>
          <w:szCs w:val="24"/>
        </w:rPr>
        <w:t>Conclusiones:</w:t>
      </w:r>
      <w:r>
        <w:rPr>
          <w:rFonts w:ascii="Arial" w:hAnsi="Arial" w:cs="Arial"/>
          <w:b/>
          <w:sz w:val="24"/>
          <w:szCs w:val="24"/>
        </w:rPr>
        <w:t xml:space="preserve"> </w:t>
      </w:r>
      <w:r w:rsidR="00AA4BE2">
        <w:rPr>
          <w:rFonts w:ascii="Arial" w:hAnsi="Arial" w:cs="Arial"/>
          <w:sz w:val="24"/>
          <w:szCs w:val="24"/>
        </w:rPr>
        <w:t xml:space="preserve">El cociente urea/creatinina es un importante predictor de mortalidad a corto plazo en pacientes con </w:t>
      </w:r>
      <w:r w:rsidR="00911D3E">
        <w:rPr>
          <w:rFonts w:ascii="Arial" w:hAnsi="Arial" w:cs="Arial"/>
          <w:sz w:val="24"/>
          <w:szCs w:val="24"/>
        </w:rPr>
        <w:t>lesión</w:t>
      </w:r>
      <w:r w:rsidR="00AA4BE2">
        <w:rPr>
          <w:rFonts w:ascii="Arial" w:hAnsi="Arial" w:cs="Arial"/>
          <w:sz w:val="24"/>
          <w:szCs w:val="24"/>
        </w:rPr>
        <w:t xml:space="preserve"> renal aguda prer</w:t>
      </w:r>
      <w:r w:rsidR="00E30FF4">
        <w:rPr>
          <w:rFonts w:ascii="Arial" w:hAnsi="Arial" w:cs="Arial"/>
          <w:sz w:val="24"/>
          <w:szCs w:val="24"/>
        </w:rPr>
        <w:t>r</w:t>
      </w:r>
      <w:r w:rsidR="00AA4BE2">
        <w:rPr>
          <w:rFonts w:ascii="Arial" w:hAnsi="Arial" w:cs="Arial"/>
          <w:sz w:val="24"/>
          <w:szCs w:val="24"/>
        </w:rPr>
        <w:t xml:space="preserve">enal. </w:t>
      </w:r>
      <w:r>
        <w:rPr>
          <w:rFonts w:ascii="Arial" w:hAnsi="Arial" w:cs="Arial"/>
          <w:sz w:val="24"/>
          <w:szCs w:val="24"/>
        </w:rPr>
        <w:t xml:space="preserve">  </w:t>
      </w:r>
      <w:r w:rsidR="00C64771" w:rsidRPr="00C64771">
        <w:rPr>
          <w:rFonts w:ascii="Arial" w:hAnsi="Arial" w:cs="Arial"/>
          <w:b/>
          <w:sz w:val="24"/>
          <w:szCs w:val="24"/>
        </w:rPr>
        <w:t xml:space="preserve"> </w:t>
      </w:r>
    </w:p>
    <w:p w:rsidR="00AA4BE2" w:rsidRPr="00AA4BE2" w:rsidRDefault="00AA4BE2" w:rsidP="003F043C">
      <w:pPr>
        <w:spacing w:line="360" w:lineRule="auto"/>
        <w:jc w:val="both"/>
        <w:rPr>
          <w:rFonts w:ascii="Arial" w:hAnsi="Arial" w:cs="Arial"/>
          <w:sz w:val="24"/>
          <w:szCs w:val="24"/>
        </w:rPr>
      </w:pPr>
      <w:r>
        <w:rPr>
          <w:rFonts w:ascii="Arial" w:hAnsi="Arial" w:cs="Arial"/>
          <w:b/>
          <w:sz w:val="24"/>
          <w:szCs w:val="24"/>
        </w:rPr>
        <w:t xml:space="preserve">Palabras clave: </w:t>
      </w:r>
      <w:r w:rsidR="00911D3E">
        <w:rPr>
          <w:rFonts w:ascii="Arial" w:hAnsi="Arial" w:cs="Arial"/>
          <w:sz w:val="24"/>
          <w:szCs w:val="24"/>
        </w:rPr>
        <w:t>lesión</w:t>
      </w:r>
      <w:r>
        <w:rPr>
          <w:rFonts w:ascii="Arial" w:hAnsi="Arial" w:cs="Arial"/>
          <w:sz w:val="24"/>
          <w:szCs w:val="24"/>
        </w:rPr>
        <w:t xml:space="preserve"> renal aguda prer</w:t>
      </w:r>
      <w:r w:rsidR="00E30FF4">
        <w:rPr>
          <w:rFonts w:ascii="Arial" w:hAnsi="Arial" w:cs="Arial"/>
          <w:sz w:val="24"/>
          <w:szCs w:val="24"/>
        </w:rPr>
        <w:t>r</w:t>
      </w:r>
      <w:r>
        <w:rPr>
          <w:rFonts w:ascii="Arial" w:hAnsi="Arial" w:cs="Arial"/>
          <w:sz w:val="24"/>
          <w:szCs w:val="24"/>
        </w:rPr>
        <w:t>enal, cociente urea/creatinina, pronóstico, mortalidad.</w:t>
      </w:r>
    </w:p>
    <w:p w:rsidR="003F043C" w:rsidRPr="003F043C" w:rsidRDefault="003F043C" w:rsidP="003F043C">
      <w:pPr>
        <w:spacing w:line="360" w:lineRule="auto"/>
        <w:jc w:val="both"/>
        <w:rPr>
          <w:rFonts w:ascii="Arial" w:hAnsi="Arial" w:cs="Arial"/>
          <w:sz w:val="24"/>
          <w:szCs w:val="24"/>
        </w:rPr>
      </w:pPr>
    </w:p>
    <w:p w:rsidR="003F043C" w:rsidRDefault="003F043C">
      <w:pPr>
        <w:rPr>
          <w:rFonts w:ascii="Arial" w:hAnsi="Arial" w:cs="Arial"/>
          <w:b/>
          <w:sz w:val="24"/>
          <w:szCs w:val="24"/>
        </w:rPr>
      </w:pPr>
      <w:r>
        <w:rPr>
          <w:rFonts w:ascii="Arial" w:hAnsi="Arial" w:cs="Arial"/>
          <w:b/>
          <w:sz w:val="24"/>
          <w:szCs w:val="24"/>
        </w:rPr>
        <w:br w:type="page"/>
      </w:r>
    </w:p>
    <w:p w:rsidR="00F709E3" w:rsidRPr="007261EE" w:rsidRDefault="00F709E3" w:rsidP="00A05011">
      <w:pPr>
        <w:pStyle w:val="HTMLconformatoprevio"/>
        <w:spacing w:before="240" w:after="240"/>
        <w:jc w:val="center"/>
        <w:rPr>
          <w:rFonts w:ascii="Arial" w:hAnsi="Arial" w:cs="Arial"/>
          <w:b/>
          <w:sz w:val="24"/>
          <w:szCs w:val="24"/>
          <w:lang w:val="en-US"/>
        </w:rPr>
      </w:pPr>
      <w:r w:rsidRPr="007261EE">
        <w:rPr>
          <w:rFonts w:ascii="Arial" w:hAnsi="Arial" w:cs="Arial"/>
          <w:b/>
          <w:sz w:val="24"/>
          <w:szCs w:val="24"/>
          <w:lang w:val="en-US"/>
        </w:rPr>
        <w:lastRenderedPageBreak/>
        <w:t>ABSTRACT</w:t>
      </w:r>
    </w:p>
    <w:p w:rsidR="00A05011" w:rsidRDefault="00F709E3" w:rsidP="00A05011">
      <w:pPr>
        <w:pStyle w:val="HTMLconformatoprevio"/>
        <w:spacing w:before="240" w:after="240" w:line="360" w:lineRule="auto"/>
        <w:jc w:val="both"/>
        <w:rPr>
          <w:rFonts w:ascii="Arial" w:hAnsi="Arial" w:cs="Arial"/>
          <w:sz w:val="24"/>
          <w:szCs w:val="24"/>
          <w:lang w:val="en-US"/>
        </w:rPr>
      </w:pPr>
      <w:r w:rsidRPr="007261EE">
        <w:rPr>
          <w:rFonts w:ascii="Arial" w:hAnsi="Arial" w:cs="Arial"/>
          <w:b/>
          <w:sz w:val="24"/>
          <w:szCs w:val="24"/>
          <w:lang w:val="en-US"/>
        </w:rPr>
        <w:t>Introduction:</w:t>
      </w:r>
      <w:r w:rsidRPr="007261EE">
        <w:rPr>
          <w:rFonts w:ascii="Arial" w:hAnsi="Arial" w:cs="Arial"/>
          <w:sz w:val="24"/>
          <w:szCs w:val="24"/>
          <w:lang w:val="en-US"/>
        </w:rPr>
        <w:t xml:space="preserve"> Prerenal renal injury is a frequent diagnosis in current </w:t>
      </w:r>
      <w:proofErr w:type="spellStart"/>
      <w:r w:rsidRPr="007261EE">
        <w:rPr>
          <w:rFonts w:ascii="Arial" w:hAnsi="Arial" w:cs="Arial"/>
          <w:sz w:val="24"/>
          <w:szCs w:val="24"/>
          <w:lang w:val="en-US"/>
        </w:rPr>
        <w:t>nephrological</w:t>
      </w:r>
      <w:proofErr w:type="spellEnd"/>
      <w:r w:rsidRPr="007261EE">
        <w:rPr>
          <w:rFonts w:ascii="Arial" w:hAnsi="Arial" w:cs="Arial"/>
          <w:sz w:val="24"/>
          <w:szCs w:val="24"/>
          <w:lang w:val="en-US"/>
        </w:rPr>
        <w:t xml:space="preserve"> practice. Establishing adequate prognoses in these patients facilitates the choice of certain behaviors. </w:t>
      </w:r>
    </w:p>
    <w:p w:rsidR="00A05011" w:rsidRDefault="00F709E3" w:rsidP="00A05011">
      <w:pPr>
        <w:pStyle w:val="HTMLconformatoprevio"/>
        <w:spacing w:before="240" w:after="240" w:line="360" w:lineRule="auto"/>
        <w:jc w:val="both"/>
        <w:rPr>
          <w:rFonts w:ascii="Arial" w:hAnsi="Arial" w:cs="Arial"/>
          <w:sz w:val="24"/>
          <w:szCs w:val="24"/>
          <w:lang w:val="en-US"/>
        </w:rPr>
      </w:pPr>
      <w:r w:rsidRPr="007261EE">
        <w:rPr>
          <w:rFonts w:ascii="Arial" w:hAnsi="Arial" w:cs="Arial"/>
          <w:b/>
          <w:sz w:val="24"/>
          <w:szCs w:val="24"/>
          <w:lang w:val="en-US"/>
        </w:rPr>
        <w:t>Objective:</w:t>
      </w:r>
      <w:r w:rsidRPr="007261EE">
        <w:rPr>
          <w:rFonts w:ascii="Arial" w:hAnsi="Arial" w:cs="Arial"/>
          <w:sz w:val="24"/>
          <w:szCs w:val="24"/>
          <w:lang w:val="en-US"/>
        </w:rPr>
        <w:t xml:space="preserve"> To determine the prognostic value of short-term mortali</w:t>
      </w:r>
      <w:r w:rsidR="00BE686E" w:rsidRPr="007261EE">
        <w:rPr>
          <w:rFonts w:ascii="Arial" w:hAnsi="Arial" w:cs="Arial"/>
          <w:sz w:val="24"/>
          <w:szCs w:val="24"/>
          <w:lang w:val="en-US"/>
        </w:rPr>
        <w:t>ty of the urea/</w:t>
      </w:r>
      <w:r w:rsidRPr="007261EE">
        <w:rPr>
          <w:rFonts w:ascii="Arial" w:hAnsi="Arial" w:cs="Arial"/>
          <w:sz w:val="24"/>
          <w:szCs w:val="24"/>
          <w:lang w:val="en-US"/>
        </w:rPr>
        <w:t xml:space="preserve">creatinine ratio in patients with acute prerenal renal injury. </w:t>
      </w:r>
    </w:p>
    <w:p w:rsidR="00A05011" w:rsidRDefault="00F709E3" w:rsidP="00A05011">
      <w:pPr>
        <w:pStyle w:val="HTMLconformatoprevio"/>
        <w:spacing w:before="240" w:after="240" w:line="360" w:lineRule="auto"/>
        <w:jc w:val="both"/>
        <w:rPr>
          <w:rFonts w:ascii="Arial" w:hAnsi="Arial" w:cs="Arial"/>
          <w:sz w:val="24"/>
          <w:szCs w:val="24"/>
          <w:lang w:val="en-US"/>
        </w:rPr>
      </w:pPr>
      <w:r w:rsidRPr="007261EE">
        <w:rPr>
          <w:rFonts w:ascii="Arial" w:hAnsi="Arial" w:cs="Arial"/>
          <w:b/>
          <w:sz w:val="24"/>
          <w:szCs w:val="24"/>
          <w:lang w:val="en-US"/>
        </w:rPr>
        <w:t>Metho</w:t>
      </w:r>
      <w:r w:rsidR="00D836BE" w:rsidRPr="007261EE">
        <w:rPr>
          <w:rFonts w:ascii="Arial" w:hAnsi="Arial" w:cs="Arial"/>
          <w:b/>
          <w:sz w:val="24"/>
          <w:szCs w:val="24"/>
          <w:lang w:val="en-US"/>
        </w:rPr>
        <w:t>d</w:t>
      </w:r>
      <w:r w:rsidRPr="007261EE">
        <w:rPr>
          <w:rFonts w:ascii="Arial" w:hAnsi="Arial" w:cs="Arial"/>
          <w:b/>
          <w:sz w:val="24"/>
          <w:szCs w:val="24"/>
          <w:lang w:val="en-US"/>
        </w:rPr>
        <w:t>:</w:t>
      </w:r>
      <w:r w:rsidRPr="007261EE">
        <w:rPr>
          <w:rFonts w:ascii="Arial" w:hAnsi="Arial" w:cs="Arial"/>
          <w:sz w:val="24"/>
          <w:szCs w:val="24"/>
          <w:lang w:val="en-US"/>
        </w:rPr>
        <w:t xml:space="preserve"> </w:t>
      </w:r>
      <w:r w:rsidR="00D836BE" w:rsidRPr="007261EE">
        <w:rPr>
          <w:rFonts w:ascii="Arial" w:hAnsi="Arial" w:cs="Arial"/>
          <w:sz w:val="24"/>
          <w:szCs w:val="24"/>
          <w:lang w:val="en-US"/>
        </w:rPr>
        <w:t>A</w:t>
      </w:r>
      <w:r w:rsidRPr="007261EE">
        <w:rPr>
          <w:rFonts w:ascii="Arial" w:hAnsi="Arial" w:cs="Arial"/>
          <w:sz w:val="24"/>
          <w:szCs w:val="24"/>
          <w:lang w:val="en-US"/>
        </w:rPr>
        <w:t xml:space="preserve"> prospective analytical observational cohort study was conducted in 238 patients with acute prerenal renal injury, between January 201</w:t>
      </w:r>
      <w:r w:rsidR="00A95C5D">
        <w:rPr>
          <w:rFonts w:ascii="Arial" w:hAnsi="Arial" w:cs="Arial"/>
          <w:sz w:val="24"/>
          <w:szCs w:val="24"/>
          <w:lang w:val="en-US"/>
        </w:rPr>
        <w:t>8</w:t>
      </w:r>
      <w:r w:rsidRPr="007261EE">
        <w:rPr>
          <w:rFonts w:ascii="Arial" w:hAnsi="Arial" w:cs="Arial"/>
          <w:sz w:val="24"/>
          <w:szCs w:val="24"/>
          <w:lang w:val="en-US"/>
        </w:rPr>
        <w:t xml:space="preserve"> and February 20</w:t>
      </w:r>
      <w:r w:rsidR="00A95C5D">
        <w:rPr>
          <w:rFonts w:ascii="Arial" w:hAnsi="Arial" w:cs="Arial"/>
          <w:sz w:val="24"/>
          <w:szCs w:val="24"/>
          <w:lang w:val="en-US"/>
        </w:rPr>
        <w:t>20</w:t>
      </w:r>
      <w:r w:rsidRPr="007261EE">
        <w:rPr>
          <w:rFonts w:ascii="Arial" w:hAnsi="Arial" w:cs="Arial"/>
          <w:sz w:val="24"/>
          <w:szCs w:val="24"/>
          <w:lang w:val="en-US"/>
        </w:rPr>
        <w:t>. The Cox regression model was used to identify independent prognostic factors of mortality. Survival curves were constructed using the Kaplan-Meier method. The d</w:t>
      </w:r>
      <w:r w:rsidR="00BE686E" w:rsidRPr="007261EE">
        <w:rPr>
          <w:rFonts w:ascii="Arial" w:hAnsi="Arial" w:cs="Arial"/>
          <w:sz w:val="24"/>
          <w:szCs w:val="24"/>
          <w:lang w:val="en-US"/>
        </w:rPr>
        <w:t>iscriminatory power of the urea/</w:t>
      </w:r>
      <w:r w:rsidRPr="007261EE">
        <w:rPr>
          <w:rFonts w:ascii="Arial" w:hAnsi="Arial" w:cs="Arial"/>
          <w:sz w:val="24"/>
          <w:szCs w:val="24"/>
          <w:lang w:val="en-US"/>
        </w:rPr>
        <w:t xml:space="preserve">creatinine ratio as a predictor of mortality was assessed by the area under the ROC curve. In addition, the optimum cut-off point was determined. </w:t>
      </w:r>
    </w:p>
    <w:p w:rsidR="00A05011" w:rsidRDefault="00F709E3" w:rsidP="00A05011">
      <w:pPr>
        <w:pStyle w:val="HTMLconformatoprevio"/>
        <w:spacing w:before="240" w:after="240" w:line="360" w:lineRule="auto"/>
        <w:jc w:val="both"/>
        <w:rPr>
          <w:rFonts w:ascii="Arial" w:hAnsi="Arial" w:cs="Arial"/>
          <w:sz w:val="24"/>
          <w:szCs w:val="24"/>
          <w:lang w:val="en-US"/>
        </w:rPr>
      </w:pPr>
      <w:r w:rsidRPr="007261EE">
        <w:rPr>
          <w:rFonts w:ascii="Arial" w:hAnsi="Arial" w:cs="Arial"/>
          <w:b/>
          <w:sz w:val="24"/>
          <w:szCs w:val="24"/>
          <w:lang w:val="en-US"/>
        </w:rPr>
        <w:t>Results:</w:t>
      </w:r>
      <w:r w:rsidRPr="007261EE">
        <w:rPr>
          <w:rFonts w:ascii="Arial" w:hAnsi="Arial" w:cs="Arial"/>
          <w:sz w:val="24"/>
          <w:szCs w:val="24"/>
          <w:lang w:val="en-US"/>
        </w:rPr>
        <w:t xml:space="preserve"> 238 patients were analyzed (median age, 56 years; 53.78% male; 44.54% hypertensive). Mortality was 38.66% and was significantly higher in the third </w:t>
      </w:r>
      <w:proofErr w:type="spellStart"/>
      <w:r w:rsidRPr="007261EE">
        <w:rPr>
          <w:rFonts w:ascii="Arial" w:hAnsi="Arial" w:cs="Arial"/>
          <w:sz w:val="24"/>
          <w:szCs w:val="24"/>
          <w:lang w:val="en-US"/>
        </w:rPr>
        <w:t>tertile</w:t>
      </w:r>
      <w:proofErr w:type="spellEnd"/>
      <w:r w:rsidRPr="007261EE">
        <w:rPr>
          <w:rFonts w:ascii="Arial" w:hAnsi="Arial" w:cs="Arial"/>
          <w:sz w:val="24"/>
          <w:szCs w:val="24"/>
          <w:lang w:val="en-US"/>
        </w:rPr>
        <w:t xml:space="preserve"> (61.25%; p &lt;0.0001). The deceased patients had a significantly higher median ratio than the survivors (35 and 24.5, respectively; p &lt;0.0001). The discriminatory power was very good, index C: 0.897 (95% CI: 0.812-0.982) and the cut-off point was 36.5. Values ​​greater than 36.5 were associated with significantly lower survival (37 vs. 89 hours; p &lt;0.0001) and was an independent predictor of short-term mortality (HR: 2,215; 95% CI: 2,105-3,060; p &lt;0.0001). </w:t>
      </w:r>
    </w:p>
    <w:p w:rsidR="00F709E3" w:rsidRPr="007261EE" w:rsidRDefault="00F709E3" w:rsidP="00A05011">
      <w:pPr>
        <w:pStyle w:val="HTMLconformatoprevio"/>
        <w:spacing w:before="240" w:after="240" w:line="360" w:lineRule="auto"/>
        <w:jc w:val="both"/>
        <w:rPr>
          <w:rFonts w:ascii="Arial" w:hAnsi="Arial" w:cs="Arial"/>
          <w:sz w:val="24"/>
          <w:szCs w:val="24"/>
          <w:lang w:val="en-US"/>
        </w:rPr>
      </w:pPr>
      <w:r w:rsidRPr="007261EE">
        <w:rPr>
          <w:rFonts w:ascii="Arial" w:hAnsi="Arial" w:cs="Arial"/>
          <w:b/>
          <w:sz w:val="24"/>
          <w:szCs w:val="24"/>
          <w:lang w:val="en-US"/>
        </w:rPr>
        <w:t>Conclusions:</w:t>
      </w:r>
      <w:r w:rsidR="00BE686E" w:rsidRPr="007261EE">
        <w:rPr>
          <w:rFonts w:ascii="Arial" w:hAnsi="Arial" w:cs="Arial"/>
          <w:sz w:val="24"/>
          <w:szCs w:val="24"/>
          <w:lang w:val="en-US"/>
        </w:rPr>
        <w:t xml:space="preserve"> The urea/</w:t>
      </w:r>
      <w:r w:rsidRPr="007261EE">
        <w:rPr>
          <w:rFonts w:ascii="Arial" w:hAnsi="Arial" w:cs="Arial"/>
          <w:sz w:val="24"/>
          <w:szCs w:val="24"/>
          <w:lang w:val="en-US"/>
        </w:rPr>
        <w:t>creatinine ratio is an important predictor of short-term mortality in patients with acute prerenal renal injury.</w:t>
      </w:r>
    </w:p>
    <w:p w:rsidR="00F709E3" w:rsidRPr="00F709E3" w:rsidRDefault="00F709E3" w:rsidP="00F709E3">
      <w:pPr>
        <w:pStyle w:val="HTMLconformatoprevio"/>
        <w:spacing w:line="360" w:lineRule="auto"/>
        <w:jc w:val="both"/>
        <w:rPr>
          <w:rFonts w:ascii="Arial" w:hAnsi="Arial" w:cs="Arial"/>
          <w:sz w:val="24"/>
          <w:szCs w:val="24"/>
          <w:lang w:val="en-US"/>
        </w:rPr>
      </w:pPr>
      <w:r w:rsidRPr="007261EE">
        <w:rPr>
          <w:rFonts w:ascii="Arial" w:hAnsi="Arial" w:cs="Arial"/>
          <w:b/>
          <w:sz w:val="24"/>
          <w:szCs w:val="24"/>
          <w:lang w:val="en-US"/>
        </w:rPr>
        <w:t>Key words:</w:t>
      </w:r>
      <w:r w:rsidR="00BE686E" w:rsidRPr="007261EE">
        <w:rPr>
          <w:rFonts w:ascii="Arial" w:hAnsi="Arial" w:cs="Arial"/>
          <w:sz w:val="24"/>
          <w:szCs w:val="24"/>
          <w:lang w:val="en-US"/>
        </w:rPr>
        <w:t xml:space="preserve"> Prerenal renal injury, urea/</w:t>
      </w:r>
      <w:r w:rsidRPr="007261EE">
        <w:rPr>
          <w:rFonts w:ascii="Arial" w:hAnsi="Arial" w:cs="Arial"/>
          <w:sz w:val="24"/>
          <w:szCs w:val="24"/>
          <w:lang w:val="en-US"/>
        </w:rPr>
        <w:t>creatinine ratio, prognosis, mortality.</w:t>
      </w:r>
    </w:p>
    <w:p w:rsidR="00F709E3" w:rsidRPr="00F709E3" w:rsidRDefault="00F709E3" w:rsidP="002951C5">
      <w:pPr>
        <w:jc w:val="center"/>
        <w:rPr>
          <w:rFonts w:ascii="Arial" w:hAnsi="Arial" w:cs="Arial"/>
          <w:b/>
          <w:sz w:val="24"/>
          <w:szCs w:val="24"/>
          <w:lang w:val="en-US"/>
        </w:rPr>
      </w:pPr>
    </w:p>
    <w:p w:rsidR="00F709E3" w:rsidRPr="00F709E3" w:rsidRDefault="00F709E3">
      <w:pPr>
        <w:rPr>
          <w:rFonts w:ascii="Arial" w:hAnsi="Arial" w:cs="Arial"/>
          <w:b/>
          <w:sz w:val="24"/>
          <w:szCs w:val="24"/>
          <w:lang w:val="en-US"/>
        </w:rPr>
      </w:pPr>
      <w:r w:rsidRPr="00F709E3">
        <w:rPr>
          <w:rFonts w:ascii="Arial" w:hAnsi="Arial" w:cs="Arial"/>
          <w:b/>
          <w:sz w:val="24"/>
          <w:szCs w:val="24"/>
          <w:lang w:val="en-US"/>
        </w:rPr>
        <w:br w:type="page"/>
      </w:r>
    </w:p>
    <w:p w:rsidR="002951C5" w:rsidRDefault="00594FFF" w:rsidP="002951C5">
      <w:pPr>
        <w:jc w:val="center"/>
        <w:rPr>
          <w:rFonts w:ascii="Arial" w:hAnsi="Arial" w:cs="Arial"/>
          <w:b/>
          <w:sz w:val="24"/>
          <w:szCs w:val="24"/>
        </w:rPr>
      </w:pPr>
      <w:r>
        <w:rPr>
          <w:rFonts w:ascii="Arial" w:hAnsi="Arial" w:cs="Arial"/>
          <w:b/>
          <w:sz w:val="24"/>
          <w:szCs w:val="24"/>
        </w:rPr>
        <w:lastRenderedPageBreak/>
        <w:t>INTRODUCCIÓN</w:t>
      </w:r>
    </w:p>
    <w:p w:rsidR="002951C5" w:rsidRDefault="002951C5" w:rsidP="002951C5">
      <w:pPr>
        <w:spacing w:line="360" w:lineRule="auto"/>
        <w:jc w:val="both"/>
        <w:rPr>
          <w:rFonts w:ascii="Arial" w:hAnsi="Arial" w:cs="Arial"/>
          <w:b/>
          <w:sz w:val="24"/>
          <w:szCs w:val="24"/>
        </w:rPr>
      </w:pPr>
      <w:r w:rsidRPr="008E361D">
        <w:rPr>
          <w:rFonts w:ascii="Arial" w:hAnsi="Arial" w:cs="Arial"/>
          <w:b/>
          <w:sz w:val="24"/>
          <w:szCs w:val="24"/>
        </w:rPr>
        <w:t>Antecedentes del problema</w:t>
      </w:r>
    </w:p>
    <w:p w:rsidR="008B50EC" w:rsidRDefault="008B50EC" w:rsidP="002951C5">
      <w:pPr>
        <w:spacing w:line="360" w:lineRule="auto"/>
        <w:jc w:val="both"/>
        <w:rPr>
          <w:rFonts w:ascii="Arial" w:hAnsi="Arial" w:cs="Arial"/>
          <w:sz w:val="24"/>
          <w:szCs w:val="24"/>
          <w:lang w:val="es-ES_tradnl"/>
        </w:rPr>
      </w:pPr>
      <w:r w:rsidRPr="002A5340">
        <w:rPr>
          <w:rFonts w:ascii="Arial" w:hAnsi="Arial" w:cs="Arial"/>
          <w:sz w:val="24"/>
          <w:szCs w:val="24"/>
          <w:lang w:val="es-ES_tradnl"/>
        </w:rPr>
        <w:t xml:space="preserve">Antes de los avances de la </w:t>
      </w:r>
      <w:hyperlink r:id="rId7" w:tooltip="Medicina" w:history="1">
        <w:r w:rsidRPr="0072065F">
          <w:rPr>
            <w:rFonts w:ascii="Arial" w:hAnsi="Arial" w:cs="Arial"/>
            <w:sz w:val="24"/>
            <w:szCs w:val="24"/>
            <w:lang w:val="es-ES_tradnl"/>
          </w:rPr>
          <w:t>medicina</w:t>
        </w:r>
      </w:hyperlink>
      <w:r w:rsidRPr="002A5340">
        <w:rPr>
          <w:rFonts w:ascii="Arial" w:hAnsi="Arial" w:cs="Arial"/>
          <w:sz w:val="24"/>
          <w:szCs w:val="24"/>
          <w:lang w:val="es-ES_tradnl"/>
        </w:rPr>
        <w:t xml:space="preserve"> moderna, </w:t>
      </w:r>
      <w:r w:rsidR="00110854">
        <w:rPr>
          <w:rFonts w:ascii="Arial" w:hAnsi="Arial" w:cs="Arial"/>
          <w:sz w:val="24"/>
          <w:szCs w:val="24"/>
          <w:lang w:val="es-ES_tradnl"/>
        </w:rPr>
        <w:t>la injuria renal aguda</w:t>
      </w:r>
      <w:r w:rsidRPr="002A5340">
        <w:rPr>
          <w:rFonts w:ascii="Arial" w:hAnsi="Arial" w:cs="Arial"/>
          <w:sz w:val="24"/>
          <w:szCs w:val="24"/>
          <w:lang w:val="es-ES_tradnl"/>
        </w:rPr>
        <w:t xml:space="preserve"> se podía referir como envenenamiento urémico. La </w:t>
      </w:r>
      <w:hyperlink r:id="rId8" w:tooltip="Uremia" w:history="1">
        <w:r w:rsidRPr="0072065F">
          <w:rPr>
            <w:rFonts w:ascii="Arial" w:hAnsi="Arial" w:cs="Arial"/>
            <w:sz w:val="24"/>
            <w:szCs w:val="24"/>
            <w:lang w:val="es-ES_tradnl"/>
          </w:rPr>
          <w:t>uremia</w:t>
        </w:r>
      </w:hyperlink>
      <w:r w:rsidRPr="002A5340">
        <w:rPr>
          <w:rFonts w:ascii="Arial" w:hAnsi="Arial" w:cs="Arial"/>
          <w:sz w:val="24"/>
          <w:szCs w:val="24"/>
          <w:lang w:val="es-ES_tradnl"/>
        </w:rPr>
        <w:t xml:space="preserve"> era el término usado para describir la contaminación de la sangre con orina. Comenzando alrededor del año </w:t>
      </w:r>
      <w:hyperlink r:id="rId9" w:tooltip="1847" w:history="1">
        <w:r w:rsidRPr="0072065F">
          <w:rPr>
            <w:rFonts w:ascii="Arial" w:hAnsi="Arial" w:cs="Arial"/>
            <w:sz w:val="24"/>
            <w:szCs w:val="24"/>
            <w:lang w:val="es-ES_tradnl"/>
          </w:rPr>
          <w:t>1847</w:t>
        </w:r>
      </w:hyperlink>
      <w:r w:rsidRPr="002A5340">
        <w:rPr>
          <w:rFonts w:ascii="Arial" w:hAnsi="Arial" w:cs="Arial"/>
          <w:sz w:val="24"/>
          <w:szCs w:val="24"/>
          <w:lang w:val="es-ES_tradnl"/>
        </w:rPr>
        <w:t xml:space="preserve"> este término fue usado para describir la salida reducida de orina, ahora conocida como </w:t>
      </w:r>
      <w:hyperlink r:id="rId10" w:tooltip="Oliguria" w:history="1">
        <w:r w:rsidRPr="0072065F">
          <w:rPr>
            <w:rFonts w:ascii="Arial" w:hAnsi="Arial" w:cs="Arial"/>
            <w:sz w:val="24"/>
            <w:szCs w:val="24"/>
            <w:lang w:val="es-ES_tradnl"/>
          </w:rPr>
          <w:t>oliguria</w:t>
        </w:r>
      </w:hyperlink>
      <w:r w:rsidRPr="002A5340">
        <w:rPr>
          <w:rFonts w:ascii="Arial" w:hAnsi="Arial" w:cs="Arial"/>
          <w:sz w:val="24"/>
          <w:szCs w:val="24"/>
          <w:lang w:val="es-ES_tradnl"/>
        </w:rPr>
        <w:t xml:space="preserve">, que se pensaba era causada por la orina que se mezclaba con la sangre en vez de ser desechada a través de la </w:t>
      </w:r>
      <w:hyperlink r:id="rId11" w:tooltip="Uretra" w:history="1">
        <w:r w:rsidRPr="0072065F">
          <w:rPr>
            <w:rFonts w:ascii="Arial" w:hAnsi="Arial" w:cs="Arial"/>
            <w:sz w:val="24"/>
            <w:szCs w:val="24"/>
            <w:lang w:val="es-ES_tradnl"/>
          </w:rPr>
          <w:t>uretra</w:t>
        </w:r>
      </w:hyperlink>
      <w:r w:rsidRPr="002A5340">
        <w:rPr>
          <w:rFonts w:ascii="Arial" w:hAnsi="Arial" w:cs="Arial"/>
          <w:sz w:val="24"/>
          <w:szCs w:val="24"/>
          <w:lang w:val="es-ES_tradnl"/>
        </w:rPr>
        <w:t>.</w:t>
      </w:r>
      <w:r>
        <w:rPr>
          <w:rFonts w:ascii="Arial" w:hAnsi="Arial" w:cs="Arial"/>
          <w:sz w:val="24"/>
          <w:szCs w:val="24"/>
          <w:lang w:val="es-ES_tradnl"/>
        </w:rPr>
        <w:t xml:space="preserve"> </w:t>
      </w:r>
      <w:r w:rsidRPr="00EA703E">
        <w:rPr>
          <w:rFonts w:ascii="Arial" w:hAnsi="Arial" w:cs="Arial"/>
          <w:sz w:val="24"/>
          <w:szCs w:val="24"/>
          <w:vertAlign w:val="superscript"/>
          <w:lang w:val="es-ES_tradnl"/>
        </w:rPr>
        <w:t>(1)</w:t>
      </w:r>
    </w:p>
    <w:p w:rsidR="008B50EC" w:rsidRDefault="00110854" w:rsidP="002951C5">
      <w:pPr>
        <w:spacing w:line="360" w:lineRule="auto"/>
        <w:jc w:val="both"/>
        <w:rPr>
          <w:rFonts w:ascii="Arial" w:hAnsi="Arial" w:cs="Arial"/>
          <w:sz w:val="24"/>
          <w:szCs w:val="24"/>
          <w:lang w:val="es-ES_tradnl"/>
        </w:rPr>
      </w:pPr>
      <w:r w:rsidRPr="00110854">
        <w:rPr>
          <w:rFonts w:ascii="Arial" w:hAnsi="Arial" w:cs="Arial"/>
          <w:sz w:val="24"/>
          <w:szCs w:val="24"/>
          <w:lang w:val="es-ES_tradnl"/>
        </w:rPr>
        <w:t xml:space="preserve">En el </w:t>
      </w:r>
      <w:hyperlink r:id="rId12" w:tooltip="Reino Unido" w:history="1">
        <w:r w:rsidRPr="00110854">
          <w:rPr>
            <w:rFonts w:ascii="Arial" w:hAnsi="Arial" w:cs="Arial"/>
            <w:sz w:val="24"/>
            <w:szCs w:val="24"/>
            <w:lang w:val="es-ES_tradnl"/>
          </w:rPr>
          <w:t>Reino Unido</w:t>
        </w:r>
      </w:hyperlink>
      <w:r w:rsidRPr="00110854">
        <w:rPr>
          <w:rFonts w:ascii="Arial" w:hAnsi="Arial" w:cs="Arial"/>
          <w:sz w:val="24"/>
          <w:szCs w:val="24"/>
          <w:lang w:val="es-ES_tradnl"/>
        </w:rPr>
        <w:t xml:space="preserve">, </w:t>
      </w:r>
      <w:r>
        <w:rPr>
          <w:rFonts w:ascii="Arial" w:hAnsi="Arial" w:cs="Arial"/>
          <w:sz w:val="24"/>
          <w:szCs w:val="24"/>
          <w:lang w:val="es-ES_tradnl"/>
        </w:rPr>
        <w:t>la injuria renal aguda</w:t>
      </w:r>
      <w:r w:rsidR="001F3203">
        <w:rPr>
          <w:rFonts w:ascii="Arial" w:hAnsi="Arial" w:cs="Arial"/>
          <w:sz w:val="24"/>
          <w:szCs w:val="24"/>
          <w:lang w:val="es-ES_tradnl"/>
        </w:rPr>
        <w:t xml:space="preserve"> (IRA)</w:t>
      </w:r>
      <w:r w:rsidRPr="00110854">
        <w:rPr>
          <w:rFonts w:ascii="Arial" w:hAnsi="Arial" w:cs="Arial"/>
          <w:sz w:val="24"/>
          <w:szCs w:val="24"/>
          <w:lang w:val="es-ES_tradnl"/>
        </w:rPr>
        <w:t xml:space="preserve"> debido a la </w:t>
      </w:r>
      <w:hyperlink r:id="rId13" w:tooltip="Necrosis tubular aguda" w:history="1">
        <w:r w:rsidRPr="00110854">
          <w:rPr>
            <w:rFonts w:ascii="Arial" w:hAnsi="Arial" w:cs="Arial"/>
            <w:sz w:val="24"/>
            <w:szCs w:val="24"/>
            <w:lang w:val="es-ES_tradnl"/>
          </w:rPr>
          <w:t>necrosis tubular aguda</w:t>
        </w:r>
      </w:hyperlink>
      <w:r w:rsidRPr="00110854">
        <w:rPr>
          <w:rFonts w:ascii="Arial" w:hAnsi="Arial" w:cs="Arial"/>
          <w:sz w:val="24"/>
          <w:szCs w:val="24"/>
          <w:lang w:val="es-ES_tradnl"/>
        </w:rPr>
        <w:t xml:space="preserve"> fue reconocida en los años </w:t>
      </w:r>
      <w:hyperlink r:id="rId14" w:tooltip="1940" w:history="1">
        <w:r w:rsidRPr="00110854">
          <w:rPr>
            <w:rFonts w:ascii="Arial" w:hAnsi="Arial" w:cs="Arial"/>
            <w:sz w:val="24"/>
            <w:szCs w:val="24"/>
            <w:lang w:val="es-ES_tradnl"/>
          </w:rPr>
          <w:t>1940</w:t>
        </w:r>
      </w:hyperlink>
      <w:r w:rsidRPr="00110854">
        <w:rPr>
          <w:rFonts w:ascii="Arial" w:hAnsi="Arial" w:cs="Arial"/>
          <w:sz w:val="24"/>
          <w:szCs w:val="24"/>
          <w:lang w:val="es-ES_tradnl"/>
        </w:rPr>
        <w:t>, en dond</w:t>
      </w:r>
      <w:r>
        <w:rPr>
          <w:rFonts w:ascii="Arial" w:hAnsi="Arial" w:cs="Arial"/>
          <w:sz w:val="24"/>
          <w:szCs w:val="24"/>
          <w:lang w:val="es-ES_tradnl"/>
        </w:rPr>
        <w:t>e las víctimas de aplastamiento</w:t>
      </w:r>
      <w:r w:rsidRPr="00110854">
        <w:rPr>
          <w:rFonts w:ascii="Arial" w:hAnsi="Arial" w:cs="Arial"/>
          <w:sz w:val="24"/>
          <w:szCs w:val="24"/>
          <w:lang w:val="es-ES_tradnl"/>
        </w:rPr>
        <w:t xml:space="preserve"> durante la </w:t>
      </w:r>
      <w:hyperlink r:id="rId15" w:tooltip="Batalla de Inglaterra" w:history="1">
        <w:r w:rsidRPr="00110854">
          <w:rPr>
            <w:rFonts w:ascii="Arial" w:hAnsi="Arial" w:cs="Arial"/>
            <w:sz w:val="24"/>
            <w:szCs w:val="24"/>
            <w:lang w:val="es-ES_tradnl"/>
          </w:rPr>
          <w:t>Batalla de Inglaterra</w:t>
        </w:r>
      </w:hyperlink>
      <w:r w:rsidRPr="00110854">
        <w:rPr>
          <w:rFonts w:ascii="Arial" w:hAnsi="Arial" w:cs="Arial"/>
          <w:sz w:val="24"/>
          <w:szCs w:val="24"/>
          <w:lang w:val="es-ES_tradnl"/>
        </w:rPr>
        <w:t xml:space="preserve"> desarrollaron necrosis desigual de los túbulos renales, conduciendo a una disminución repentina de la función renal.</w:t>
      </w:r>
      <w:r>
        <w:rPr>
          <w:rFonts w:ascii="Arial" w:hAnsi="Arial" w:cs="Arial"/>
          <w:sz w:val="24"/>
          <w:szCs w:val="24"/>
          <w:lang w:val="es-ES_tradnl"/>
        </w:rPr>
        <w:t xml:space="preserve"> </w:t>
      </w:r>
      <w:r w:rsidRPr="00110854">
        <w:rPr>
          <w:rFonts w:ascii="Arial" w:hAnsi="Arial" w:cs="Arial"/>
          <w:sz w:val="24"/>
          <w:szCs w:val="24"/>
          <w:lang w:val="es-ES_tradnl"/>
        </w:rPr>
        <w:t>Durante las guerras</w:t>
      </w:r>
      <w:r>
        <w:rPr>
          <w:rFonts w:ascii="Arial" w:hAnsi="Arial" w:cs="Arial"/>
          <w:sz w:val="24"/>
          <w:szCs w:val="24"/>
          <w:lang w:val="es-ES_tradnl"/>
        </w:rPr>
        <w:t xml:space="preserve"> de</w:t>
      </w:r>
      <w:r w:rsidRPr="00110854">
        <w:rPr>
          <w:rFonts w:ascii="Arial" w:hAnsi="Arial" w:cs="Arial"/>
          <w:sz w:val="24"/>
          <w:szCs w:val="24"/>
          <w:lang w:val="es-ES_tradnl"/>
        </w:rPr>
        <w:t xml:space="preserve"> </w:t>
      </w:r>
      <w:hyperlink r:id="rId16" w:tooltip="Corea" w:history="1">
        <w:r>
          <w:rPr>
            <w:rFonts w:ascii="Arial" w:hAnsi="Arial" w:cs="Arial"/>
            <w:sz w:val="24"/>
            <w:szCs w:val="24"/>
            <w:lang w:val="es-ES_tradnl"/>
          </w:rPr>
          <w:t>K</w:t>
        </w:r>
        <w:r w:rsidRPr="00110854">
          <w:rPr>
            <w:rFonts w:ascii="Arial" w:hAnsi="Arial" w:cs="Arial"/>
            <w:sz w:val="24"/>
            <w:szCs w:val="24"/>
            <w:lang w:val="es-ES_tradnl"/>
          </w:rPr>
          <w:t>orea</w:t>
        </w:r>
      </w:hyperlink>
      <w:r w:rsidRPr="00110854">
        <w:rPr>
          <w:rFonts w:ascii="Arial" w:hAnsi="Arial" w:cs="Arial"/>
          <w:sz w:val="24"/>
          <w:szCs w:val="24"/>
          <w:lang w:val="es-ES_tradnl"/>
        </w:rPr>
        <w:t xml:space="preserve"> y de </w:t>
      </w:r>
      <w:hyperlink r:id="rId17" w:tooltip="Vietnam" w:history="1">
        <w:r w:rsidRPr="00110854">
          <w:rPr>
            <w:rFonts w:ascii="Arial" w:hAnsi="Arial" w:cs="Arial"/>
            <w:sz w:val="24"/>
            <w:szCs w:val="24"/>
            <w:lang w:val="es-ES_tradnl"/>
          </w:rPr>
          <w:t>Vietnam</w:t>
        </w:r>
      </w:hyperlink>
      <w:r w:rsidRPr="00110854">
        <w:rPr>
          <w:rFonts w:ascii="Arial" w:hAnsi="Arial" w:cs="Arial"/>
          <w:sz w:val="24"/>
          <w:szCs w:val="24"/>
          <w:lang w:val="es-ES_tradnl"/>
        </w:rPr>
        <w:t xml:space="preserve">, la incidencia de </w:t>
      </w:r>
      <w:r>
        <w:rPr>
          <w:rFonts w:ascii="Arial" w:hAnsi="Arial" w:cs="Arial"/>
          <w:sz w:val="24"/>
          <w:szCs w:val="24"/>
          <w:lang w:val="es-ES_tradnl"/>
        </w:rPr>
        <w:t>esta</w:t>
      </w:r>
      <w:r w:rsidRPr="00110854">
        <w:rPr>
          <w:rFonts w:ascii="Arial" w:hAnsi="Arial" w:cs="Arial"/>
          <w:sz w:val="24"/>
          <w:szCs w:val="24"/>
          <w:lang w:val="es-ES_tradnl"/>
        </w:rPr>
        <w:t xml:space="preserve"> disminuyó debido a un mejor manejo clínico y a la infusión intravenosa de líquidos.</w:t>
      </w:r>
      <w:r>
        <w:rPr>
          <w:rFonts w:ascii="Arial" w:hAnsi="Arial" w:cs="Arial"/>
          <w:sz w:val="24"/>
          <w:szCs w:val="24"/>
          <w:lang w:val="es-ES_tradnl"/>
        </w:rPr>
        <w:t xml:space="preserve"> </w:t>
      </w:r>
      <w:r w:rsidRPr="00EA703E">
        <w:rPr>
          <w:rFonts w:ascii="Arial" w:hAnsi="Arial" w:cs="Arial"/>
          <w:sz w:val="24"/>
          <w:szCs w:val="24"/>
          <w:vertAlign w:val="superscript"/>
          <w:lang w:val="es-ES_tradnl"/>
        </w:rPr>
        <w:t>(2)</w:t>
      </w:r>
    </w:p>
    <w:p w:rsidR="006D657E" w:rsidRPr="006D657E" w:rsidRDefault="006D657E" w:rsidP="002951C5">
      <w:pPr>
        <w:spacing w:line="360" w:lineRule="auto"/>
        <w:jc w:val="both"/>
        <w:rPr>
          <w:rFonts w:ascii="Arial" w:hAnsi="Arial" w:cs="Arial"/>
          <w:color w:val="000000" w:themeColor="text1"/>
          <w:sz w:val="24"/>
          <w:szCs w:val="24"/>
        </w:rPr>
      </w:pPr>
      <w:r>
        <w:rPr>
          <w:rFonts w:ascii="Arial" w:hAnsi="Arial" w:cs="Arial"/>
          <w:color w:val="000000" w:themeColor="text1"/>
          <w:sz w:val="24"/>
          <w:szCs w:val="24"/>
          <w:lang w:val="es-ES_tradnl"/>
        </w:rPr>
        <w:t>L</w:t>
      </w:r>
      <w:r w:rsidRPr="006D657E">
        <w:rPr>
          <w:rFonts w:ascii="Arial" w:hAnsi="Arial" w:cs="Arial"/>
          <w:color w:val="000000" w:themeColor="text1"/>
          <w:sz w:val="24"/>
          <w:szCs w:val="24"/>
        </w:rPr>
        <w:t xml:space="preserve">a aparición de </w:t>
      </w:r>
      <w:r>
        <w:rPr>
          <w:rFonts w:ascii="Arial" w:hAnsi="Arial" w:cs="Arial"/>
          <w:color w:val="000000" w:themeColor="text1"/>
          <w:sz w:val="24"/>
          <w:szCs w:val="24"/>
        </w:rPr>
        <w:t>injuria renal aguda</w:t>
      </w:r>
      <w:r w:rsidRPr="006D657E">
        <w:rPr>
          <w:rFonts w:ascii="Arial" w:hAnsi="Arial" w:cs="Arial"/>
          <w:color w:val="000000" w:themeColor="text1"/>
          <w:sz w:val="24"/>
          <w:szCs w:val="24"/>
        </w:rPr>
        <w:t xml:space="preserve"> en pacientes gravemente enfermos hace que aún hoy en día y a pesar de los avances en la terapia de sustitución de la función renal, la mortalidad en la mayoría de los estudios exceda el 50%, lo que se mantiene inalterable en los últimos 30 años. En la actualidad, </w:t>
      </w:r>
      <w:r>
        <w:rPr>
          <w:rFonts w:ascii="Arial" w:hAnsi="Arial" w:cs="Arial"/>
          <w:color w:val="000000" w:themeColor="text1"/>
          <w:sz w:val="24"/>
          <w:szCs w:val="24"/>
        </w:rPr>
        <w:t>la IRA</w:t>
      </w:r>
      <w:r w:rsidRPr="006D657E">
        <w:rPr>
          <w:rFonts w:ascii="Arial" w:hAnsi="Arial" w:cs="Arial"/>
          <w:color w:val="000000" w:themeColor="text1"/>
          <w:sz w:val="24"/>
          <w:szCs w:val="24"/>
        </w:rPr>
        <w:t xml:space="preserve"> es </w:t>
      </w:r>
      <w:r>
        <w:rPr>
          <w:rFonts w:ascii="Arial" w:hAnsi="Arial" w:cs="Arial"/>
          <w:color w:val="000000" w:themeColor="text1"/>
          <w:sz w:val="24"/>
          <w:szCs w:val="24"/>
        </w:rPr>
        <w:t>frecuente</w:t>
      </w:r>
      <w:r w:rsidRPr="006D657E">
        <w:rPr>
          <w:rFonts w:ascii="Arial" w:hAnsi="Arial" w:cs="Arial"/>
          <w:color w:val="000000" w:themeColor="text1"/>
          <w:sz w:val="24"/>
          <w:szCs w:val="24"/>
        </w:rPr>
        <w:t xml:space="preserve"> en las </w:t>
      </w:r>
      <w:r>
        <w:rPr>
          <w:rFonts w:ascii="Arial" w:hAnsi="Arial" w:cs="Arial"/>
          <w:color w:val="000000" w:themeColor="text1"/>
          <w:sz w:val="24"/>
          <w:szCs w:val="24"/>
        </w:rPr>
        <w:t xml:space="preserve">unidades de cuidados intensivos </w:t>
      </w:r>
      <w:r w:rsidRPr="006D657E">
        <w:rPr>
          <w:rFonts w:ascii="Arial" w:hAnsi="Arial" w:cs="Arial"/>
          <w:color w:val="000000" w:themeColor="text1"/>
          <w:sz w:val="24"/>
          <w:szCs w:val="24"/>
        </w:rPr>
        <w:t>y forma parte de un síndrome de fracaso múltiple de órganos donde los riñones fallan con posterioridad a uno o más de otros sistemas orgánicos</w:t>
      </w:r>
      <w:r>
        <w:rPr>
          <w:rFonts w:ascii="Arial" w:hAnsi="Arial" w:cs="Arial"/>
          <w:color w:val="000000" w:themeColor="text1"/>
          <w:sz w:val="24"/>
          <w:szCs w:val="24"/>
        </w:rPr>
        <w:t xml:space="preserve">. </w:t>
      </w:r>
      <w:r w:rsidRPr="00EA703E">
        <w:rPr>
          <w:rFonts w:ascii="Arial" w:hAnsi="Arial" w:cs="Arial"/>
          <w:color w:val="000000" w:themeColor="text1"/>
          <w:sz w:val="24"/>
          <w:szCs w:val="24"/>
          <w:vertAlign w:val="superscript"/>
        </w:rPr>
        <w:t>(3)</w:t>
      </w:r>
    </w:p>
    <w:p w:rsidR="00203D73" w:rsidRDefault="00203D73" w:rsidP="00203D73">
      <w:pPr>
        <w:spacing w:line="360" w:lineRule="auto"/>
        <w:jc w:val="both"/>
        <w:rPr>
          <w:rFonts w:ascii="Arial" w:hAnsi="Arial" w:cs="Arial"/>
          <w:b/>
          <w:sz w:val="24"/>
          <w:szCs w:val="24"/>
        </w:rPr>
      </w:pPr>
      <w:r w:rsidRPr="008E361D">
        <w:rPr>
          <w:rFonts w:ascii="Arial" w:hAnsi="Arial" w:cs="Arial"/>
          <w:b/>
          <w:sz w:val="24"/>
          <w:szCs w:val="24"/>
        </w:rPr>
        <w:t>Marco teórico</w:t>
      </w:r>
    </w:p>
    <w:p w:rsidR="00A45B67" w:rsidRDefault="00A45B67" w:rsidP="00A45B67">
      <w:pPr>
        <w:spacing w:line="360" w:lineRule="auto"/>
        <w:jc w:val="both"/>
        <w:rPr>
          <w:rFonts w:ascii="Arial" w:hAnsi="Arial" w:cs="Arial"/>
          <w:iCs/>
          <w:sz w:val="24"/>
          <w:szCs w:val="24"/>
          <w:lang w:val="es-MX"/>
        </w:rPr>
      </w:pPr>
      <w:r w:rsidRPr="00A45B67">
        <w:rPr>
          <w:rFonts w:ascii="Arial" w:hAnsi="Arial" w:cs="Arial"/>
          <w:iCs/>
          <w:sz w:val="24"/>
          <w:szCs w:val="24"/>
          <w:lang w:val="fr-FR"/>
        </w:rPr>
        <w:t xml:space="preserve">La </w:t>
      </w:r>
      <w:r w:rsidR="00247A73">
        <w:rPr>
          <w:rFonts w:ascii="Arial" w:hAnsi="Arial" w:cs="Arial"/>
          <w:iCs/>
          <w:sz w:val="24"/>
          <w:szCs w:val="24"/>
          <w:lang w:val="fr-FR"/>
        </w:rPr>
        <w:t>i</w:t>
      </w:r>
      <w:r w:rsidRPr="00A45B67">
        <w:rPr>
          <w:rFonts w:ascii="Arial" w:hAnsi="Arial" w:cs="Arial"/>
          <w:iCs/>
          <w:sz w:val="24"/>
          <w:szCs w:val="24"/>
          <w:lang w:val="fr-FR"/>
        </w:rPr>
        <w:t xml:space="preserve">njuria </w:t>
      </w:r>
      <w:r w:rsidR="00247A73" w:rsidRPr="00247A73">
        <w:rPr>
          <w:rFonts w:ascii="Arial" w:hAnsi="Arial" w:cs="Arial"/>
          <w:iCs/>
          <w:sz w:val="24"/>
          <w:szCs w:val="24"/>
        </w:rPr>
        <w:t>r</w:t>
      </w:r>
      <w:r w:rsidRPr="00247A73">
        <w:rPr>
          <w:rFonts w:ascii="Arial" w:hAnsi="Arial" w:cs="Arial"/>
          <w:iCs/>
          <w:sz w:val="24"/>
          <w:szCs w:val="24"/>
        </w:rPr>
        <w:t xml:space="preserve">enal </w:t>
      </w:r>
      <w:r w:rsidR="00247A73" w:rsidRPr="00247A73">
        <w:rPr>
          <w:rFonts w:ascii="Arial" w:hAnsi="Arial" w:cs="Arial"/>
          <w:iCs/>
          <w:sz w:val="24"/>
          <w:szCs w:val="24"/>
        </w:rPr>
        <w:t>a</w:t>
      </w:r>
      <w:r w:rsidRPr="00247A73">
        <w:rPr>
          <w:rFonts w:ascii="Arial" w:hAnsi="Arial" w:cs="Arial"/>
          <w:iCs/>
          <w:sz w:val="24"/>
          <w:szCs w:val="24"/>
        </w:rPr>
        <w:t>guda</w:t>
      </w:r>
      <w:r w:rsidRPr="00A45B67">
        <w:rPr>
          <w:rFonts w:ascii="Arial" w:hAnsi="Arial" w:cs="Arial"/>
          <w:iCs/>
          <w:sz w:val="24"/>
          <w:szCs w:val="24"/>
          <w:lang w:val="fr-FR"/>
        </w:rPr>
        <w:t xml:space="preserve"> (IRA) es </w:t>
      </w:r>
      <w:r>
        <w:rPr>
          <w:rFonts w:ascii="Arial" w:hAnsi="Arial" w:cs="Arial"/>
          <w:iCs/>
          <w:sz w:val="24"/>
          <w:szCs w:val="24"/>
          <w:lang w:val="es-ES_tradnl"/>
        </w:rPr>
        <w:t>el té</w:t>
      </w:r>
      <w:r w:rsidRPr="00A45B67">
        <w:rPr>
          <w:rFonts w:ascii="Arial" w:hAnsi="Arial" w:cs="Arial"/>
          <w:iCs/>
          <w:sz w:val="24"/>
          <w:szCs w:val="24"/>
          <w:lang w:val="es-ES_tradnl"/>
        </w:rPr>
        <w:t>rmino más acepta</w:t>
      </w:r>
      <w:r>
        <w:rPr>
          <w:rFonts w:ascii="Arial" w:hAnsi="Arial" w:cs="Arial"/>
          <w:iCs/>
          <w:sz w:val="24"/>
          <w:szCs w:val="24"/>
          <w:lang w:val="es-ES_tradnl"/>
        </w:rPr>
        <w:t>do y respaldado por una amplia l</w:t>
      </w:r>
      <w:r w:rsidRPr="00A45B67">
        <w:rPr>
          <w:rFonts w:ascii="Arial" w:hAnsi="Arial" w:cs="Arial"/>
          <w:iCs/>
          <w:sz w:val="24"/>
          <w:szCs w:val="24"/>
          <w:lang w:val="es-ES_tradnl"/>
        </w:rPr>
        <w:t>iteratura, utilizado para describir un síndrome clínico</w:t>
      </w:r>
      <w:r>
        <w:rPr>
          <w:rFonts w:ascii="Arial" w:hAnsi="Arial" w:cs="Arial"/>
          <w:iCs/>
          <w:sz w:val="24"/>
          <w:szCs w:val="24"/>
          <w:lang w:val="es-ES_tradnl"/>
        </w:rPr>
        <w:t xml:space="preserve"> </w:t>
      </w:r>
      <w:r w:rsidRPr="00A45B67">
        <w:rPr>
          <w:rFonts w:ascii="Arial" w:hAnsi="Arial" w:cs="Arial"/>
          <w:iCs/>
          <w:sz w:val="24"/>
          <w:szCs w:val="24"/>
          <w:lang w:val="es-ES_tradnl"/>
        </w:rPr>
        <w:t>secundario a múltiples patologías, caracterizado por la alteración abrupta y sostenida de la función renal,</w:t>
      </w:r>
      <w:r>
        <w:rPr>
          <w:rFonts w:ascii="Arial" w:hAnsi="Arial" w:cs="Arial"/>
          <w:iCs/>
          <w:sz w:val="24"/>
          <w:szCs w:val="24"/>
          <w:lang w:val="es-ES_tradnl"/>
        </w:rPr>
        <w:t xml:space="preserve"> que es potencialmente reversible y</w:t>
      </w:r>
      <w:r w:rsidRPr="00A45B67">
        <w:rPr>
          <w:rFonts w:ascii="Arial" w:hAnsi="Arial" w:cs="Arial"/>
          <w:iCs/>
          <w:sz w:val="24"/>
          <w:szCs w:val="24"/>
          <w:lang w:val="es-ES_tradnl"/>
        </w:rPr>
        <w:t xml:space="preserve"> </w:t>
      </w:r>
      <w:r>
        <w:rPr>
          <w:rFonts w:ascii="Arial" w:hAnsi="Arial" w:cs="Arial"/>
          <w:iCs/>
          <w:sz w:val="24"/>
          <w:szCs w:val="24"/>
          <w:lang w:val="es-ES_tradnl"/>
        </w:rPr>
        <w:t xml:space="preserve">que ocurre en menos de 48 horas, </w:t>
      </w:r>
      <w:r w:rsidRPr="00A45B67">
        <w:rPr>
          <w:rFonts w:ascii="Arial" w:hAnsi="Arial" w:cs="Arial"/>
          <w:iCs/>
          <w:sz w:val="24"/>
          <w:szCs w:val="24"/>
          <w:lang w:val="es-ES_tradnl"/>
        </w:rPr>
        <w:t>s</w:t>
      </w:r>
      <w:r>
        <w:rPr>
          <w:rFonts w:ascii="Arial" w:hAnsi="Arial" w:cs="Arial"/>
          <w:iCs/>
          <w:sz w:val="24"/>
          <w:szCs w:val="24"/>
          <w:lang w:val="es-ES_tradnl"/>
        </w:rPr>
        <w:t>e caracteriza sin importar la e</w:t>
      </w:r>
      <w:r w:rsidRPr="00A45B67">
        <w:rPr>
          <w:rFonts w:ascii="Arial" w:hAnsi="Arial" w:cs="Arial"/>
          <w:iCs/>
          <w:sz w:val="24"/>
          <w:szCs w:val="24"/>
          <w:lang w:val="es-ES_tradnl"/>
        </w:rPr>
        <w:t>tiología</w:t>
      </w:r>
      <w:r>
        <w:rPr>
          <w:rFonts w:ascii="Arial" w:hAnsi="Arial" w:cs="Arial"/>
          <w:iCs/>
          <w:sz w:val="24"/>
          <w:szCs w:val="24"/>
          <w:lang w:val="es-ES_tradnl"/>
        </w:rPr>
        <w:t>,</w:t>
      </w:r>
      <w:r w:rsidRPr="00A45B67">
        <w:rPr>
          <w:rFonts w:ascii="Arial" w:hAnsi="Arial" w:cs="Arial"/>
          <w:iCs/>
          <w:sz w:val="24"/>
          <w:szCs w:val="24"/>
          <w:lang w:val="es-ES_tradnl"/>
        </w:rPr>
        <w:t xml:space="preserve"> por un aumento en la retención de produc</w:t>
      </w:r>
      <w:r>
        <w:rPr>
          <w:rFonts w:ascii="Arial" w:hAnsi="Arial" w:cs="Arial"/>
          <w:iCs/>
          <w:sz w:val="24"/>
          <w:szCs w:val="24"/>
          <w:lang w:val="es-ES_tradnl"/>
        </w:rPr>
        <w:t xml:space="preserve">tos del metabolismo nitrogenado </w:t>
      </w:r>
      <w:r w:rsidRPr="00A45B67">
        <w:rPr>
          <w:rFonts w:ascii="Arial" w:hAnsi="Arial" w:cs="Arial"/>
          <w:iCs/>
          <w:sz w:val="24"/>
          <w:szCs w:val="24"/>
          <w:lang w:val="es-ES_tradnl"/>
        </w:rPr>
        <w:t xml:space="preserve">(urea y creatinina) y además de </w:t>
      </w:r>
      <w:r w:rsidRPr="00A45B67">
        <w:rPr>
          <w:rFonts w:ascii="Arial" w:hAnsi="Arial" w:cs="Arial"/>
          <w:iCs/>
          <w:sz w:val="24"/>
          <w:szCs w:val="24"/>
          <w:lang w:val="es-MX"/>
        </w:rPr>
        <w:t>incapaci</w:t>
      </w:r>
      <w:r>
        <w:rPr>
          <w:rFonts w:ascii="Arial" w:hAnsi="Arial" w:cs="Arial"/>
          <w:iCs/>
          <w:sz w:val="24"/>
          <w:szCs w:val="24"/>
          <w:lang w:val="es-MX"/>
        </w:rPr>
        <w:t xml:space="preserve">dad para regular la homeostasis. </w:t>
      </w:r>
      <w:r w:rsidRPr="00EA703E">
        <w:rPr>
          <w:rFonts w:ascii="Arial" w:hAnsi="Arial" w:cs="Arial"/>
          <w:iCs/>
          <w:sz w:val="24"/>
          <w:szCs w:val="24"/>
          <w:vertAlign w:val="superscript"/>
          <w:lang w:val="es-MX"/>
        </w:rPr>
        <w:t>(4)</w:t>
      </w:r>
    </w:p>
    <w:p w:rsidR="00A45B67" w:rsidRDefault="00123818" w:rsidP="00A45B67">
      <w:pPr>
        <w:spacing w:line="360" w:lineRule="auto"/>
        <w:jc w:val="both"/>
        <w:rPr>
          <w:rFonts w:ascii="Arial" w:hAnsi="Arial" w:cs="Arial"/>
          <w:sz w:val="24"/>
          <w:szCs w:val="24"/>
        </w:rPr>
      </w:pPr>
      <w:r w:rsidRPr="00123818">
        <w:rPr>
          <w:rFonts w:ascii="Arial" w:hAnsi="Arial" w:cs="Arial"/>
          <w:sz w:val="24"/>
          <w:szCs w:val="24"/>
        </w:rPr>
        <w:lastRenderedPageBreak/>
        <w:t>La causa más frecuente de IRA (55 al 70%) es la causa prer</w:t>
      </w:r>
      <w:r w:rsidR="00E30FF4">
        <w:rPr>
          <w:rFonts w:ascii="Arial" w:hAnsi="Arial" w:cs="Arial"/>
          <w:sz w:val="24"/>
          <w:szCs w:val="24"/>
        </w:rPr>
        <w:t>r</w:t>
      </w:r>
      <w:r w:rsidRPr="00123818">
        <w:rPr>
          <w:rFonts w:ascii="Arial" w:hAnsi="Arial" w:cs="Arial"/>
          <w:sz w:val="24"/>
          <w:szCs w:val="24"/>
        </w:rPr>
        <w:t>enal que, implica que la disminución de la tasa de filtración glomerular es secundaria a hipoperfusión renal. Es potencialmente reversible si el agente causal es eliminado, entre las causas prerenales se encuentran los estados de shock por hemorragias, quemaduras, deshidratación, el uso excesivo de diuréticos, la sepsis, las cardiopatías que cursan con bajo gasto</w:t>
      </w:r>
      <w:r>
        <w:rPr>
          <w:rFonts w:ascii="Arial" w:hAnsi="Arial" w:cs="Arial"/>
          <w:sz w:val="24"/>
          <w:szCs w:val="24"/>
        </w:rPr>
        <w:t>, entre otras</w:t>
      </w:r>
      <w:r w:rsidRPr="00123818">
        <w:rPr>
          <w:rFonts w:ascii="Arial" w:hAnsi="Arial" w:cs="Arial"/>
          <w:sz w:val="24"/>
          <w:szCs w:val="24"/>
        </w:rPr>
        <w:t>.</w:t>
      </w:r>
      <w:r>
        <w:rPr>
          <w:rFonts w:ascii="Arial" w:hAnsi="Arial" w:cs="Arial"/>
          <w:sz w:val="24"/>
          <w:szCs w:val="24"/>
        </w:rPr>
        <w:t xml:space="preserve"> </w:t>
      </w:r>
      <w:r w:rsidRPr="00EA703E">
        <w:rPr>
          <w:rFonts w:ascii="Arial" w:hAnsi="Arial" w:cs="Arial"/>
          <w:sz w:val="24"/>
          <w:szCs w:val="24"/>
          <w:vertAlign w:val="superscript"/>
        </w:rPr>
        <w:t>(5)</w:t>
      </w:r>
    </w:p>
    <w:p w:rsidR="00123818" w:rsidRDefault="00100100" w:rsidP="00A45B67">
      <w:pPr>
        <w:spacing w:line="360" w:lineRule="auto"/>
        <w:jc w:val="both"/>
        <w:rPr>
          <w:rFonts w:ascii="Arial" w:hAnsi="Arial" w:cs="Arial"/>
          <w:sz w:val="24"/>
          <w:szCs w:val="24"/>
        </w:rPr>
      </w:pPr>
      <w:r w:rsidRPr="00100100">
        <w:rPr>
          <w:rFonts w:ascii="Arial" w:hAnsi="Arial" w:cs="Arial"/>
          <w:sz w:val="24"/>
          <w:szCs w:val="24"/>
        </w:rPr>
        <w:t xml:space="preserve">La </w:t>
      </w:r>
      <w:r>
        <w:rPr>
          <w:rFonts w:ascii="Arial" w:hAnsi="Arial" w:cs="Arial"/>
          <w:sz w:val="24"/>
          <w:szCs w:val="24"/>
        </w:rPr>
        <w:t>injuria</w:t>
      </w:r>
      <w:r w:rsidRPr="00100100">
        <w:rPr>
          <w:rFonts w:ascii="Arial" w:hAnsi="Arial" w:cs="Arial"/>
          <w:sz w:val="24"/>
          <w:szCs w:val="24"/>
        </w:rPr>
        <w:t xml:space="preserve"> renal aguda es un evento mórbido de gran impacto en la vida de las personas, pues se acompaña de una alta letalidad, su presencia requiere frecuentemente la intervención médica especializada con sistemas de soporte renal. Estos sistemas se ofrecen generalmente en conjunto con otras medidas de mayor complejidad como las que se utilizan en unidades de cuidados intensivos, esto para garantizar el mantenimiento de la vida de las personas en tanto se recupere la función renal</w:t>
      </w:r>
      <w:r>
        <w:rPr>
          <w:rFonts w:ascii="Arial" w:hAnsi="Arial" w:cs="Arial"/>
          <w:sz w:val="24"/>
          <w:szCs w:val="24"/>
        </w:rPr>
        <w:t xml:space="preserve">. </w:t>
      </w:r>
      <w:r w:rsidRPr="00EA703E">
        <w:rPr>
          <w:rFonts w:ascii="Arial" w:hAnsi="Arial" w:cs="Arial"/>
          <w:sz w:val="24"/>
          <w:szCs w:val="24"/>
          <w:vertAlign w:val="superscript"/>
        </w:rPr>
        <w:t>(6)</w:t>
      </w:r>
    </w:p>
    <w:p w:rsidR="00100100" w:rsidRDefault="00555A33" w:rsidP="00A45B67">
      <w:pPr>
        <w:spacing w:line="360" w:lineRule="auto"/>
        <w:jc w:val="both"/>
        <w:rPr>
          <w:rFonts w:ascii="Arial" w:hAnsi="Arial" w:cs="Arial"/>
          <w:sz w:val="24"/>
          <w:szCs w:val="24"/>
        </w:rPr>
      </w:pPr>
      <w:r w:rsidRPr="00555A33">
        <w:rPr>
          <w:rFonts w:ascii="Arial" w:hAnsi="Arial" w:cs="Arial"/>
          <w:sz w:val="24"/>
          <w:szCs w:val="24"/>
        </w:rPr>
        <w:t xml:space="preserve">La tasa de letalidad ha sido un tema relevante en la historia natural de la </w:t>
      </w:r>
      <w:r>
        <w:rPr>
          <w:rFonts w:ascii="Arial" w:hAnsi="Arial" w:cs="Arial"/>
          <w:sz w:val="24"/>
          <w:szCs w:val="24"/>
        </w:rPr>
        <w:t>I</w:t>
      </w:r>
      <w:r w:rsidRPr="00555A33">
        <w:rPr>
          <w:rFonts w:ascii="Arial" w:hAnsi="Arial" w:cs="Arial"/>
          <w:sz w:val="24"/>
          <w:szCs w:val="24"/>
        </w:rPr>
        <w:t>RA y se ha</w:t>
      </w:r>
      <w:r>
        <w:rPr>
          <w:rFonts w:ascii="Arial" w:hAnsi="Arial" w:cs="Arial"/>
          <w:sz w:val="24"/>
          <w:szCs w:val="24"/>
        </w:rPr>
        <w:t xml:space="preserve">n </w:t>
      </w:r>
      <w:r w:rsidRPr="00555A33">
        <w:rPr>
          <w:rFonts w:ascii="Arial" w:hAnsi="Arial" w:cs="Arial"/>
          <w:sz w:val="24"/>
          <w:szCs w:val="24"/>
        </w:rPr>
        <w:t>estudiado muchos factores relacionados, así ́como sus aspectos epidemiológicos. Sin embargo, la literatura internacional ha mostrado resultados disímiles, probablemente debido a diferencias en los criterios diagnósticos existentes a lo largo de la historia.</w:t>
      </w:r>
      <w:r>
        <w:rPr>
          <w:rFonts w:ascii="Arial" w:hAnsi="Arial" w:cs="Arial"/>
          <w:sz w:val="24"/>
          <w:szCs w:val="24"/>
        </w:rPr>
        <w:t xml:space="preserve"> </w:t>
      </w:r>
      <w:r w:rsidRPr="00EA703E">
        <w:rPr>
          <w:rFonts w:ascii="Arial" w:hAnsi="Arial" w:cs="Arial"/>
          <w:sz w:val="24"/>
          <w:szCs w:val="24"/>
          <w:vertAlign w:val="superscript"/>
        </w:rPr>
        <w:t>(7)</w:t>
      </w:r>
    </w:p>
    <w:p w:rsidR="008E31AF" w:rsidRDefault="00F06420" w:rsidP="008E31AF">
      <w:pPr>
        <w:spacing w:line="360" w:lineRule="auto"/>
        <w:jc w:val="both"/>
        <w:rPr>
          <w:rFonts w:ascii="Arial" w:hAnsi="Arial" w:cs="Arial"/>
          <w:sz w:val="24"/>
          <w:szCs w:val="24"/>
        </w:rPr>
      </w:pPr>
      <w:r>
        <w:rPr>
          <w:rFonts w:ascii="Arial" w:hAnsi="Arial" w:cs="Arial"/>
          <w:sz w:val="24"/>
          <w:szCs w:val="24"/>
        </w:rPr>
        <w:t xml:space="preserve">En los países occidentales, la incidencia estimada de la injuria renal aguda es de unos 200 casos por millón de población adulta y año. </w:t>
      </w:r>
      <w:r w:rsidR="008E31AF">
        <w:rPr>
          <w:rFonts w:ascii="Arial" w:hAnsi="Arial" w:cs="Arial"/>
          <w:sz w:val="24"/>
          <w:szCs w:val="24"/>
        </w:rPr>
        <w:t>La</w:t>
      </w:r>
      <w:r w:rsidR="008E31AF" w:rsidRPr="008E31AF">
        <w:rPr>
          <w:rFonts w:ascii="Arial" w:hAnsi="Arial" w:cs="Arial"/>
          <w:sz w:val="24"/>
          <w:szCs w:val="24"/>
        </w:rPr>
        <w:t xml:space="preserve"> </w:t>
      </w:r>
      <w:r w:rsidR="008E31AF">
        <w:rPr>
          <w:rFonts w:ascii="Arial" w:hAnsi="Arial" w:cs="Arial"/>
          <w:sz w:val="24"/>
          <w:szCs w:val="24"/>
        </w:rPr>
        <w:t xml:space="preserve">IRA </w:t>
      </w:r>
      <w:r w:rsidR="008E31AF" w:rsidRPr="008E31AF">
        <w:rPr>
          <w:rFonts w:ascii="Arial" w:hAnsi="Arial" w:cs="Arial"/>
          <w:sz w:val="24"/>
          <w:szCs w:val="24"/>
        </w:rPr>
        <w:t>en Latinoa</w:t>
      </w:r>
      <w:r w:rsidR="008E31AF">
        <w:rPr>
          <w:rFonts w:ascii="Arial" w:hAnsi="Arial" w:cs="Arial"/>
          <w:sz w:val="24"/>
          <w:szCs w:val="24"/>
        </w:rPr>
        <w:t xml:space="preserve">mérica </w:t>
      </w:r>
      <w:r w:rsidR="008E31AF" w:rsidRPr="008E31AF">
        <w:rPr>
          <w:rFonts w:ascii="Arial" w:hAnsi="Arial" w:cs="Arial"/>
          <w:sz w:val="24"/>
          <w:szCs w:val="24"/>
        </w:rPr>
        <w:t xml:space="preserve">cobra valor </w:t>
      </w:r>
      <w:r w:rsidR="008E31AF">
        <w:rPr>
          <w:rFonts w:ascii="Arial" w:hAnsi="Arial" w:cs="Arial"/>
          <w:sz w:val="24"/>
          <w:szCs w:val="24"/>
        </w:rPr>
        <w:t xml:space="preserve">por </w:t>
      </w:r>
      <w:r w:rsidR="008E31AF" w:rsidRPr="008E31AF">
        <w:rPr>
          <w:rFonts w:ascii="Arial" w:hAnsi="Arial" w:cs="Arial"/>
          <w:sz w:val="24"/>
          <w:szCs w:val="24"/>
        </w:rPr>
        <w:t xml:space="preserve">sí misma, </w:t>
      </w:r>
      <w:r w:rsidR="008E31AF">
        <w:rPr>
          <w:rFonts w:ascii="Arial" w:hAnsi="Arial" w:cs="Arial"/>
          <w:sz w:val="24"/>
          <w:szCs w:val="24"/>
        </w:rPr>
        <w:t xml:space="preserve">dado </w:t>
      </w:r>
      <w:r w:rsidR="008E31AF" w:rsidRPr="008E31AF">
        <w:rPr>
          <w:rFonts w:ascii="Arial" w:hAnsi="Arial" w:cs="Arial"/>
          <w:sz w:val="24"/>
          <w:szCs w:val="24"/>
        </w:rPr>
        <w:t xml:space="preserve">el alto </w:t>
      </w:r>
      <w:r w:rsidR="008E31AF">
        <w:rPr>
          <w:rFonts w:ascii="Arial" w:hAnsi="Arial" w:cs="Arial"/>
          <w:sz w:val="24"/>
          <w:szCs w:val="24"/>
        </w:rPr>
        <w:t xml:space="preserve">impacto </w:t>
      </w:r>
      <w:r w:rsidR="008E31AF" w:rsidRPr="008E31AF">
        <w:rPr>
          <w:rFonts w:ascii="Arial" w:hAnsi="Arial" w:cs="Arial"/>
          <w:sz w:val="24"/>
          <w:szCs w:val="24"/>
        </w:rPr>
        <w:t>que</w:t>
      </w:r>
      <w:r w:rsidR="008E31AF">
        <w:rPr>
          <w:rFonts w:ascii="Arial" w:hAnsi="Arial" w:cs="Arial"/>
          <w:sz w:val="24"/>
          <w:szCs w:val="24"/>
        </w:rPr>
        <w:t xml:space="preserve"> </w:t>
      </w:r>
      <w:r w:rsidR="008E31AF" w:rsidRPr="008E31AF">
        <w:rPr>
          <w:rFonts w:ascii="Arial" w:hAnsi="Arial" w:cs="Arial"/>
          <w:sz w:val="24"/>
          <w:szCs w:val="24"/>
        </w:rPr>
        <w:t xml:space="preserve">genera </w:t>
      </w:r>
      <w:r w:rsidR="008E31AF">
        <w:rPr>
          <w:rFonts w:ascii="Arial" w:hAnsi="Arial" w:cs="Arial"/>
          <w:sz w:val="24"/>
          <w:szCs w:val="24"/>
        </w:rPr>
        <w:t xml:space="preserve">en términos </w:t>
      </w:r>
      <w:r w:rsidR="008E31AF" w:rsidRPr="008E31AF">
        <w:rPr>
          <w:rFonts w:ascii="Arial" w:hAnsi="Arial" w:cs="Arial"/>
          <w:sz w:val="24"/>
          <w:szCs w:val="24"/>
        </w:rPr>
        <w:t xml:space="preserve">de: morbilidad, </w:t>
      </w:r>
      <w:r w:rsidR="008E31AF">
        <w:rPr>
          <w:rFonts w:ascii="Arial" w:hAnsi="Arial" w:cs="Arial"/>
          <w:sz w:val="24"/>
          <w:szCs w:val="24"/>
        </w:rPr>
        <w:t xml:space="preserve">mortalidad </w:t>
      </w:r>
      <w:r w:rsidR="008E31AF" w:rsidRPr="008E31AF">
        <w:rPr>
          <w:rFonts w:ascii="Arial" w:hAnsi="Arial" w:cs="Arial"/>
          <w:sz w:val="24"/>
          <w:szCs w:val="24"/>
        </w:rPr>
        <w:t xml:space="preserve">y </w:t>
      </w:r>
      <w:r>
        <w:rPr>
          <w:rFonts w:ascii="Arial" w:hAnsi="Arial" w:cs="Arial"/>
          <w:sz w:val="24"/>
          <w:szCs w:val="24"/>
        </w:rPr>
        <w:t>costos</w:t>
      </w:r>
      <w:r w:rsidR="008E31AF" w:rsidRPr="008E31AF">
        <w:rPr>
          <w:rFonts w:ascii="Arial" w:hAnsi="Arial" w:cs="Arial"/>
          <w:sz w:val="24"/>
          <w:szCs w:val="24"/>
        </w:rPr>
        <w:t xml:space="preserve">. </w:t>
      </w:r>
      <w:r w:rsidR="008E31AF">
        <w:rPr>
          <w:rFonts w:ascii="Arial" w:hAnsi="Arial" w:cs="Arial"/>
          <w:sz w:val="24"/>
          <w:szCs w:val="24"/>
        </w:rPr>
        <w:t xml:space="preserve">Hoy </w:t>
      </w:r>
      <w:r>
        <w:rPr>
          <w:rFonts w:ascii="Arial" w:hAnsi="Arial" w:cs="Arial"/>
          <w:sz w:val="24"/>
          <w:szCs w:val="24"/>
        </w:rPr>
        <w:t>en día</w:t>
      </w:r>
      <w:r w:rsidR="008E31AF" w:rsidRPr="008E31AF">
        <w:rPr>
          <w:rFonts w:ascii="Arial" w:hAnsi="Arial" w:cs="Arial"/>
          <w:sz w:val="24"/>
          <w:szCs w:val="24"/>
        </w:rPr>
        <w:t xml:space="preserve"> </w:t>
      </w:r>
      <w:r w:rsidR="008E31AF">
        <w:rPr>
          <w:rFonts w:ascii="Arial" w:hAnsi="Arial" w:cs="Arial"/>
          <w:sz w:val="24"/>
          <w:szCs w:val="24"/>
        </w:rPr>
        <w:t xml:space="preserve">constituye </w:t>
      </w:r>
      <w:r w:rsidR="008E31AF" w:rsidRPr="008E31AF">
        <w:rPr>
          <w:rFonts w:ascii="Arial" w:hAnsi="Arial" w:cs="Arial"/>
          <w:sz w:val="24"/>
          <w:szCs w:val="24"/>
        </w:rPr>
        <w:t xml:space="preserve">el motivo </w:t>
      </w:r>
      <w:r w:rsidR="008E31AF">
        <w:rPr>
          <w:rFonts w:ascii="Arial" w:hAnsi="Arial" w:cs="Arial"/>
          <w:sz w:val="24"/>
          <w:szCs w:val="24"/>
        </w:rPr>
        <w:t xml:space="preserve">de consulta </w:t>
      </w:r>
      <w:r w:rsidR="008E31AF" w:rsidRPr="008E31AF">
        <w:rPr>
          <w:rFonts w:ascii="Arial" w:hAnsi="Arial" w:cs="Arial"/>
          <w:sz w:val="24"/>
          <w:szCs w:val="24"/>
        </w:rPr>
        <w:t xml:space="preserve">más frecuente en los </w:t>
      </w:r>
      <w:r w:rsidR="008E31AF">
        <w:rPr>
          <w:rFonts w:ascii="Arial" w:hAnsi="Arial" w:cs="Arial"/>
          <w:sz w:val="24"/>
          <w:szCs w:val="24"/>
        </w:rPr>
        <w:t xml:space="preserve">servicios </w:t>
      </w:r>
      <w:r w:rsidR="008E31AF" w:rsidRPr="008E31AF">
        <w:rPr>
          <w:rFonts w:ascii="Arial" w:hAnsi="Arial" w:cs="Arial"/>
          <w:sz w:val="24"/>
          <w:szCs w:val="24"/>
        </w:rPr>
        <w:t xml:space="preserve">de </w:t>
      </w:r>
      <w:r>
        <w:rPr>
          <w:rFonts w:ascii="Arial" w:hAnsi="Arial" w:cs="Arial"/>
          <w:sz w:val="24"/>
          <w:szCs w:val="24"/>
        </w:rPr>
        <w:t>nefrología</w:t>
      </w:r>
      <w:r w:rsidR="008E31AF" w:rsidRPr="008E31AF">
        <w:rPr>
          <w:rFonts w:ascii="Arial" w:hAnsi="Arial" w:cs="Arial"/>
          <w:sz w:val="24"/>
          <w:szCs w:val="24"/>
        </w:rPr>
        <w:t xml:space="preserve">: </w:t>
      </w:r>
      <w:r w:rsidR="008E31AF">
        <w:rPr>
          <w:rFonts w:ascii="Arial" w:hAnsi="Arial" w:cs="Arial"/>
          <w:sz w:val="24"/>
          <w:szCs w:val="24"/>
        </w:rPr>
        <w:t xml:space="preserve">la incidencia </w:t>
      </w:r>
      <w:r w:rsidR="008E31AF" w:rsidRPr="008E31AF">
        <w:rPr>
          <w:rFonts w:ascii="Arial" w:hAnsi="Arial" w:cs="Arial"/>
          <w:sz w:val="24"/>
          <w:szCs w:val="24"/>
        </w:rPr>
        <w:t>varía entre</w:t>
      </w:r>
      <w:r>
        <w:rPr>
          <w:rFonts w:ascii="Arial" w:hAnsi="Arial" w:cs="Arial"/>
          <w:sz w:val="24"/>
          <w:szCs w:val="24"/>
        </w:rPr>
        <w:t xml:space="preserve"> los 2.000</w:t>
      </w:r>
      <w:r w:rsidR="008E31AF">
        <w:rPr>
          <w:rFonts w:ascii="Arial" w:hAnsi="Arial" w:cs="Arial"/>
          <w:sz w:val="24"/>
          <w:szCs w:val="24"/>
        </w:rPr>
        <w:t xml:space="preserve"> y </w:t>
      </w:r>
      <w:r w:rsidR="008E31AF" w:rsidRPr="008E31AF">
        <w:rPr>
          <w:rFonts w:ascii="Arial" w:hAnsi="Arial" w:cs="Arial"/>
          <w:sz w:val="24"/>
          <w:szCs w:val="24"/>
        </w:rPr>
        <w:t xml:space="preserve">los </w:t>
      </w:r>
      <w:r>
        <w:rPr>
          <w:rFonts w:ascii="Arial" w:hAnsi="Arial" w:cs="Arial"/>
          <w:sz w:val="24"/>
          <w:szCs w:val="24"/>
        </w:rPr>
        <w:t>15.000</w:t>
      </w:r>
      <w:r w:rsidR="008E31AF" w:rsidRPr="008E31AF">
        <w:rPr>
          <w:rFonts w:ascii="Arial" w:hAnsi="Arial" w:cs="Arial"/>
          <w:sz w:val="24"/>
          <w:szCs w:val="24"/>
        </w:rPr>
        <w:t xml:space="preserve"> pacientes/millón de </w:t>
      </w:r>
      <w:r w:rsidR="008E31AF">
        <w:rPr>
          <w:rFonts w:ascii="Arial" w:hAnsi="Arial" w:cs="Arial"/>
          <w:sz w:val="24"/>
          <w:szCs w:val="24"/>
        </w:rPr>
        <w:t>habitantes</w:t>
      </w:r>
      <w:r w:rsidR="00C26B7E">
        <w:rPr>
          <w:rFonts w:ascii="Arial" w:hAnsi="Arial" w:cs="Arial"/>
          <w:sz w:val="24"/>
          <w:szCs w:val="24"/>
        </w:rPr>
        <w:t xml:space="preserve"> al año </w:t>
      </w:r>
      <w:r w:rsidR="008E31AF" w:rsidRPr="008E31AF">
        <w:rPr>
          <w:rFonts w:ascii="Arial" w:hAnsi="Arial" w:cs="Arial"/>
          <w:sz w:val="24"/>
          <w:szCs w:val="24"/>
        </w:rPr>
        <w:t>de</w:t>
      </w:r>
      <w:r w:rsidR="008E31AF">
        <w:rPr>
          <w:rFonts w:ascii="Arial" w:hAnsi="Arial" w:cs="Arial"/>
          <w:sz w:val="24"/>
          <w:szCs w:val="24"/>
        </w:rPr>
        <w:t xml:space="preserve"> </w:t>
      </w:r>
      <w:r w:rsidR="008E31AF" w:rsidRPr="008E31AF">
        <w:rPr>
          <w:rFonts w:ascii="Arial" w:hAnsi="Arial" w:cs="Arial"/>
          <w:sz w:val="24"/>
          <w:szCs w:val="24"/>
        </w:rPr>
        <w:t xml:space="preserve">acuerdo con </w:t>
      </w:r>
      <w:r w:rsidR="008E31AF">
        <w:rPr>
          <w:rFonts w:ascii="Arial" w:hAnsi="Arial" w:cs="Arial"/>
          <w:sz w:val="24"/>
          <w:szCs w:val="24"/>
        </w:rPr>
        <w:t xml:space="preserve">las diferentes publicaciones. </w:t>
      </w:r>
      <w:r w:rsidR="008E31AF" w:rsidRPr="008E31AF">
        <w:rPr>
          <w:rFonts w:ascii="Arial" w:hAnsi="Arial" w:cs="Arial"/>
          <w:sz w:val="24"/>
          <w:szCs w:val="24"/>
        </w:rPr>
        <w:t xml:space="preserve">Así mismo, la </w:t>
      </w:r>
      <w:r w:rsidR="008E31AF">
        <w:rPr>
          <w:rFonts w:ascii="Arial" w:hAnsi="Arial" w:cs="Arial"/>
          <w:sz w:val="24"/>
          <w:szCs w:val="24"/>
        </w:rPr>
        <w:t xml:space="preserve">incidencia que requiere </w:t>
      </w:r>
      <w:r w:rsidR="008E31AF" w:rsidRPr="008E31AF">
        <w:rPr>
          <w:rFonts w:ascii="Arial" w:hAnsi="Arial" w:cs="Arial"/>
          <w:sz w:val="24"/>
          <w:szCs w:val="24"/>
        </w:rPr>
        <w:t xml:space="preserve">terapia de </w:t>
      </w:r>
      <w:r w:rsidR="008E31AF">
        <w:rPr>
          <w:rFonts w:ascii="Arial" w:hAnsi="Arial" w:cs="Arial"/>
          <w:sz w:val="24"/>
          <w:szCs w:val="24"/>
        </w:rPr>
        <w:t xml:space="preserve">reemplazo </w:t>
      </w:r>
      <w:r w:rsidR="008E31AF" w:rsidRPr="008E31AF">
        <w:rPr>
          <w:rFonts w:ascii="Arial" w:hAnsi="Arial" w:cs="Arial"/>
          <w:sz w:val="24"/>
          <w:szCs w:val="24"/>
        </w:rPr>
        <w:t>renal se</w:t>
      </w:r>
      <w:r w:rsidR="008E31AF">
        <w:rPr>
          <w:rFonts w:ascii="Arial" w:hAnsi="Arial" w:cs="Arial"/>
          <w:sz w:val="24"/>
          <w:szCs w:val="24"/>
        </w:rPr>
        <w:t xml:space="preserve"> </w:t>
      </w:r>
      <w:r w:rsidR="008E31AF" w:rsidRPr="008E31AF">
        <w:rPr>
          <w:rFonts w:ascii="Arial" w:hAnsi="Arial" w:cs="Arial"/>
          <w:sz w:val="24"/>
          <w:szCs w:val="24"/>
        </w:rPr>
        <w:t xml:space="preserve">ubica </w:t>
      </w:r>
      <w:r w:rsidR="008E31AF">
        <w:rPr>
          <w:rFonts w:ascii="Arial" w:hAnsi="Arial" w:cs="Arial"/>
          <w:sz w:val="24"/>
          <w:szCs w:val="24"/>
        </w:rPr>
        <w:t xml:space="preserve">en 533 pacientes/millón </w:t>
      </w:r>
      <w:r w:rsidR="008E31AF" w:rsidRPr="008E31AF">
        <w:rPr>
          <w:rFonts w:ascii="Arial" w:hAnsi="Arial" w:cs="Arial"/>
          <w:sz w:val="24"/>
          <w:szCs w:val="24"/>
        </w:rPr>
        <w:t>de habitantes</w:t>
      </w:r>
      <w:r w:rsidR="00C26B7E">
        <w:rPr>
          <w:rFonts w:ascii="Arial" w:hAnsi="Arial" w:cs="Arial"/>
          <w:sz w:val="24"/>
          <w:szCs w:val="24"/>
        </w:rPr>
        <w:t xml:space="preserve"> al </w:t>
      </w:r>
      <w:r w:rsidR="008E31AF" w:rsidRPr="008E31AF">
        <w:rPr>
          <w:rFonts w:ascii="Arial" w:hAnsi="Arial" w:cs="Arial"/>
          <w:sz w:val="24"/>
          <w:szCs w:val="24"/>
        </w:rPr>
        <w:t>año</w:t>
      </w:r>
      <w:r>
        <w:rPr>
          <w:rFonts w:ascii="Arial" w:hAnsi="Arial" w:cs="Arial"/>
          <w:sz w:val="24"/>
          <w:szCs w:val="24"/>
        </w:rPr>
        <w:t xml:space="preserve">. </w:t>
      </w:r>
      <w:r w:rsidRPr="00EA703E">
        <w:rPr>
          <w:rFonts w:ascii="Arial" w:hAnsi="Arial" w:cs="Arial"/>
          <w:sz w:val="24"/>
          <w:szCs w:val="24"/>
          <w:vertAlign w:val="superscript"/>
        </w:rPr>
        <w:t>(8)</w:t>
      </w:r>
    </w:p>
    <w:p w:rsidR="00BB507A" w:rsidRDefault="00F06420" w:rsidP="00A45B67">
      <w:pPr>
        <w:spacing w:line="360" w:lineRule="auto"/>
        <w:jc w:val="both"/>
        <w:rPr>
          <w:rFonts w:ascii="Arial" w:hAnsi="Arial" w:cs="Arial"/>
          <w:sz w:val="24"/>
          <w:szCs w:val="24"/>
        </w:rPr>
      </w:pPr>
      <w:r>
        <w:rPr>
          <w:rFonts w:ascii="Arial" w:hAnsi="Arial" w:cs="Arial"/>
          <w:sz w:val="24"/>
          <w:szCs w:val="24"/>
        </w:rPr>
        <w:t>En</w:t>
      </w:r>
      <w:r w:rsidR="00EB0147">
        <w:rPr>
          <w:rFonts w:ascii="Arial" w:hAnsi="Arial" w:cs="Arial"/>
          <w:sz w:val="24"/>
          <w:szCs w:val="24"/>
        </w:rPr>
        <w:t xml:space="preserve"> Cuba se puede estimar </w:t>
      </w:r>
      <w:r w:rsidR="004C308E">
        <w:rPr>
          <w:rFonts w:ascii="Arial" w:hAnsi="Arial" w:cs="Arial"/>
          <w:sz w:val="24"/>
          <w:szCs w:val="24"/>
        </w:rPr>
        <w:t>alrededor</w:t>
      </w:r>
      <w:r w:rsidR="00EB0147">
        <w:rPr>
          <w:rFonts w:ascii="Arial" w:hAnsi="Arial" w:cs="Arial"/>
          <w:sz w:val="24"/>
          <w:szCs w:val="24"/>
        </w:rPr>
        <w:t xml:space="preserve"> de 180 casos por millón de población adulta </w:t>
      </w:r>
      <w:r w:rsidR="004C308E">
        <w:rPr>
          <w:rFonts w:ascii="Arial" w:hAnsi="Arial" w:cs="Arial"/>
          <w:sz w:val="24"/>
          <w:szCs w:val="24"/>
        </w:rPr>
        <w:t>al</w:t>
      </w:r>
      <w:r w:rsidR="00EB0147">
        <w:rPr>
          <w:rFonts w:ascii="Arial" w:hAnsi="Arial" w:cs="Arial"/>
          <w:sz w:val="24"/>
          <w:szCs w:val="24"/>
        </w:rPr>
        <w:t xml:space="preserve"> año</w:t>
      </w:r>
      <w:r w:rsidR="00136124">
        <w:rPr>
          <w:rFonts w:ascii="Arial" w:hAnsi="Arial" w:cs="Arial"/>
          <w:sz w:val="24"/>
          <w:szCs w:val="24"/>
        </w:rPr>
        <w:t xml:space="preserve">, semejante incidencia se observa en Las Tunas, donde se registran cerca </w:t>
      </w:r>
      <w:r w:rsidR="00136124">
        <w:rPr>
          <w:rFonts w:ascii="Arial" w:hAnsi="Arial" w:cs="Arial"/>
          <w:sz w:val="24"/>
          <w:szCs w:val="24"/>
        </w:rPr>
        <w:lastRenderedPageBreak/>
        <w:t>de 165 casos al año</w:t>
      </w:r>
      <w:r w:rsidR="00EB0147">
        <w:rPr>
          <w:rFonts w:ascii="Arial" w:hAnsi="Arial" w:cs="Arial"/>
          <w:sz w:val="24"/>
          <w:szCs w:val="24"/>
        </w:rPr>
        <w:t xml:space="preserve">. Predomina en el sexo masculino (3:1) y, aunque puede verse a cualquier edad, es mucho más frecuente en personas mayores de 60 años. </w:t>
      </w:r>
      <w:r w:rsidR="00EB0147" w:rsidRPr="00EA703E">
        <w:rPr>
          <w:rFonts w:ascii="Arial" w:hAnsi="Arial" w:cs="Arial"/>
          <w:sz w:val="24"/>
          <w:szCs w:val="24"/>
          <w:vertAlign w:val="superscript"/>
        </w:rPr>
        <w:t>(</w:t>
      </w:r>
      <w:r w:rsidRPr="00EA703E">
        <w:rPr>
          <w:rFonts w:ascii="Arial" w:hAnsi="Arial" w:cs="Arial"/>
          <w:sz w:val="24"/>
          <w:szCs w:val="24"/>
          <w:vertAlign w:val="superscript"/>
        </w:rPr>
        <w:t>9,10</w:t>
      </w:r>
      <w:r w:rsidR="00EB0147" w:rsidRPr="00EA703E">
        <w:rPr>
          <w:rFonts w:ascii="Arial" w:hAnsi="Arial" w:cs="Arial"/>
          <w:sz w:val="24"/>
          <w:szCs w:val="24"/>
          <w:vertAlign w:val="superscript"/>
        </w:rPr>
        <w:t>)</w:t>
      </w:r>
    </w:p>
    <w:p w:rsidR="00136124" w:rsidRDefault="002E67F4" w:rsidP="00A45B67">
      <w:pPr>
        <w:spacing w:line="360" w:lineRule="auto"/>
        <w:jc w:val="both"/>
        <w:rPr>
          <w:rFonts w:ascii="Arial" w:hAnsi="Arial" w:cs="Arial"/>
          <w:sz w:val="24"/>
          <w:szCs w:val="24"/>
        </w:rPr>
      </w:pPr>
      <w:r w:rsidRPr="002E67F4">
        <w:rPr>
          <w:rFonts w:ascii="Arial" w:hAnsi="Arial" w:cs="Arial"/>
          <w:sz w:val="24"/>
          <w:szCs w:val="24"/>
        </w:rPr>
        <w:t>En las últimas décadas,</w:t>
      </w:r>
      <w:r>
        <w:rPr>
          <w:rFonts w:ascii="Arial" w:hAnsi="Arial" w:cs="Arial"/>
          <w:sz w:val="24"/>
          <w:szCs w:val="24"/>
        </w:rPr>
        <w:t xml:space="preserve"> se han propuesto más de 35 conceptos</w:t>
      </w:r>
      <w:r w:rsidRPr="002E67F4">
        <w:rPr>
          <w:rFonts w:ascii="Arial" w:hAnsi="Arial" w:cs="Arial"/>
          <w:sz w:val="24"/>
          <w:szCs w:val="24"/>
        </w:rPr>
        <w:t xml:space="preserve"> para la IRA, la mayoría basadas en los valores del gasto urinario y la creatinina sérica.</w:t>
      </w:r>
      <w:r>
        <w:rPr>
          <w:rFonts w:ascii="Arial" w:hAnsi="Arial" w:cs="Arial"/>
          <w:sz w:val="24"/>
          <w:szCs w:val="24"/>
        </w:rPr>
        <w:t xml:space="preserve"> El uso de escalas </w:t>
      </w:r>
      <w:r w:rsidRPr="002E67F4">
        <w:rPr>
          <w:rFonts w:ascii="Arial" w:hAnsi="Arial" w:cs="Arial"/>
          <w:sz w:val="24"/>
          <w:szCs w:val="24"/>
        </w:rPr>
        <w:t>ha demostrado tener</w:t>
      </w:r>
      <w:r>
        <w:rPr>
          <w:rFonts w:ascii="Arial" w:hAnsi="Arial" w:cs="Arial"/>
          <w:sz w:val="24"/>
          <w:szCs w:val="24"/>
        </w:rPr>
        <w:t xml:space="preserve"> gran utilidad en el diagnóstico precoz de la misma, entre ellas las escalas </w:t>
      </w:r>
      <w:r w:rsidRPr="002E67F4">
        <w:rPr>
          <w:rFonts w:ascii="Arial" w:hAnsi="Arial" w:cs="Arial"/>
          <w:sz w:val="24"/>
          <w:szCs w:val="24"/>
        </w:rPr>
        <w:t xml:space="preserve">RIFLE y AKIN </w:t>
      </w:r>
      <w:r>
        <w:rPr>
          <w:rFonts w:ascii="Arial" w:hAnsi="Arial" w:cs="Arial"/>
          <w:sz w:val="24"/>
          <w:szCs w:val="24"/>
        </w:rPr>
        <w:t xml:space="preserve">son las más utilizadas, y actualmente las preferidas. </w:t>
      </w:r>
      <w:r w:rsidRPr="00EA703E">
        <w:rPr>
          <w:rFonts w:ascii="Arial" w:hAnsi="Arial" w:cs="Arial"/>
          <w:sz w:val="24"/>
          <w:szCs w:val="24"/>
          <w:vertAlign w:val="superscript"/>
        </w:rPr>
        <w:t>(11)</w:t>
      </w:r>
    </w:p>
    <w:p w:rsidR="002E67F4" w:rsidRDefault="002E67F4" w:rsidP="00A45B67">
      <w:pPr>
        <w:spacing w:line="360" w:lineRule="auto"/>
        <w:jc w:val="both"/>
        <w:rPr>
          <w:rFonts w:ascii="Arial" w:hAnsi="Arial" w:cs="Arial"/>
          <w:sz w:val="24"/>
          <w:szCs w:val="24"/>
        </w:rPr>
      </w:pPr>
      <w:r>
        <w:rPr>
          <w:rFonts w:ascii="Arial" w:hAnsi="Arial" w:cs="Arial"/>
          <w:sz w:val="24"/>
          <w:szCs w:val="24"/>
        </w:rPr>
        <w:t>La escala</w:t>
      </w:r>
      <w:r w:rsidRPr="002E67F4">
        <w:rPr>
          <w:rFonts w:ascii="Arial" w:hAnsi="Arial" w:cs="Arial"/>
          <w:sz w:val="24"/>
          <w:szCs w:val="24"/>
        </w:rPr>
        <w:t xml:space="preserve"> RIFLE fue propuesta en 2004 por el grupo ADQI (</w:t>
      </w:r>
      <w:proofErr w:type="spellStart"/>
      <w:r w:rsidRPr="002E67F4">
        <w:rPr>
          <w:rFonts w:ascii="Arial" w:hAnsi="Arial" w:cs="Arial"/>
          <w:sz w:val="24"/>
          <w:szCs w:val="24"/>
        </w:rPr>
        <w:t>Acute</w:t>
      </w:r>
      <w:proofErr w:type="spellEnd"/>
      <w:r w:rsidRPr="002E67F4">
        <w:rPr>
          <w:rFonts w:ascii="Arial" w:hAnsi="Arial" w:cs="Arial"/>
          <w:sz w:val="24"/>
          <w:szCs w:val="24"/>
        </w:rPr>
        <w:t xml:space="preserve"> </w:t>
      </w:r>
      <w:proofErr w:type="spellStart"/>
      <w:r w:rsidRPr="002E67F4">
        <w:rPr>
          <w:rFonts w:ascii="Arial" w:hAnsi="Arial" w:cs="Arial"/>
          <w:sz w:val="24"/>
          <w:szCs w:val="24"/>
        </w:rPr>
        <w:t>Dialysis</w:t>
      </w:r>
      <w:proofErr w:type="spellEnd"/>
      <w:r w:rsidRPr="002E67F4">
        <w:rPr>
          <w:rFonts w:ascii="Arial" w:hAnsi="Arial" w:cs="Arial"/>
          <w:sz w:val="24"/>
          <w:szCs w:val="24"/>
        </w:rPr>
        <w:t xml:space="preserve"> </w:t>
      </w:r>
      <w:proofErr w:type="spellStart"/>
      <w:r w:rsidRPr="002E67F4">
        <w:rPr>
          <w:rFonts w:ascii="Arial" w:hAnsi="Arial" w:cs="Arial"/>
          <w:sz w:val="24"/>
          <w:szCs w:val="24"/>
        </w:rPr>
        <w:t>Quality</w:t>
      </w:r>
      <w:proofErr w:type="spellEnd"/>
      <w:r w:rsidRPr="002E67F4">
        <w:rPr>
          <w:rFonts w:ascii="Arial" w:hAnsi="Arial" w:cs="Arial"/>
          <w:sz w:val="24"/>
          <w:szCs w:val="24"/>
        </w:rPr>
        <w:t xml:space="preserve"> </w:t>
      </w:r>
      <w:proofErr w:type="spellStart"/>
      <w:r w:rsidRPr="002E67F4">
        <w:rPr>
          <w:rFonts w:ascii="Arial" w:hAnsi="Arial" w:cs="Arial"/>
          <w:sz w:val="24"/>
          <w:szCs w:val="24"/>
        </w:rPr>
        <w:t>Initiative</w:t>
      </w:r>
      <w:proofErr w:type="spellEnd"/>
      <w:r w:rsidRPr="002E67F4">
        <w:rPr>
          <w:rFonts w:ascii="Arial" w:hAnsi="Arial" w:cs="Arial"/>
          <w:sz w:val="24"/>
          <w:szCs w:val="24"/>
        </w:rPr>
        <w:t>). Esta cla</w:t>
      </w:r>
      <w:r>
        <w:rPr>
          <w:rFonts w:ascii="Arial" w:hAnsi="Arial" w:cs="Arial"/>
          <w:sz w:val="24"/>
          <w:szCs w:val="24"/>
        </w:rPr>
        <w:t>siﬁ</w:t>
      </w:r>
      <w:r w:rsidRPr="002E67F4">
        <w:rPr>
          <w:rFonts w:ascii="Arial" w:hAnsi="Arial" w:cs="Arial"/>
          <w:sz w:val="24"/>
          <w:szCs w:val="24"/>
        </w:rPr>
        <w:t>cación tiene tres categorías que se basan en los valores de la creatinina sérica y del gasto urinario, y dos categorías basadas en el pronóstico (pérdida de la funció</w:t>
      </w:r>
      <w:r>
        <w:rPr>
          <w:rFonts w:ascii="Arial" w:hAnsi="Arial" w:cs="Arial"/>
          <w:sz w:val="24"/>
          <w:szCs w:val="24"/>
        </w:rPr>
        <w:t>n renal o falla renal terminal). La escala</w:t>
      </w:r>
      <w:r w:rsidRPr="002E67F4">
        <w:rPr>
          <w:rFonts w:ascii="Arial" w:hAnsi="Arial" w:cs="Arial"/>
          <w:sz w:val="24"/>
          <w:szCs w:val="24"/>
        </w:rPr>
        <w:t xml:space="preserve"> AKIN, publicada en 2007, se considera una </w:t>
      </w:r>
      <w:r>
        <w:rPr>
          <w:rFonts w:ascii="Arial" w:hAnsi="Arial" w:cs="Arial"/>
          <w:sz w:val="24"/>
          <w:szCs w:val="24"/>
        </w:rPr>
        <w:t xml:space="preserve">versión modificada de la clasiﬁcación </w:t>
      </w:r>
      <w:r w:rsidRPr="002E67F4">
        <w:rPr>
          <w:rFonts w:ascii="Arial" w:hAnsi="Arial" w:cs="Arial"/>
          <w:sz w:val="24"/>
          <w:szCs w:val="24"/>
        </w:rPr>
        <w:t>de RIFLE, en donde el diagnóstico de IRA se considera como una disminución aguda de la función renal, con un incremento absoluto de 0.3 mg/dL de creatinina sérica, un aumento mayor del 50% de la creatinina con respecto al valor basal o una disminución de</w:t>
      </w:r>
      <w:r w:rsidR="009C08E8">
        <w:rPr>
          <w:rFonts w:ascii="Arial" w:hAnsi="Arial" w:cs="Arial"/>
          <w:sz w:val="24"/>
          <w:szCs w:val="24"/>
        </w:rPr>
        <w:t>l gasto urinario menor de 0.5 ml</w:t>
      </w:r>
      <w:r w:rsidRPr="002E67F4">
        <w:rPr>
          <w:rFonts w:ascii="Arial" w:hAnsi="Arial" w:cs="Arial"/>
          <w:sz w:val="24"/>
          <w:szCs w:val="24"/>
        </w:rPr>
        <w:t>/kg/h por más de seis horas</w:t>
      </w:r>
      <w:r>
        <w:rPr>
          <w:rFonts w:ascii="Arial" w:hAnsi="Arial" w:cs="Arial"/>
          <w:sz w:val="24"/>
          <w:szCs w:val="24"/>
        </w:rPr>
        <w:t xml:space="preserve">. (Cuadro I) </w:t>
      </w:r>
      <w:r w:rsidRPr="00EA703E">
        <w:rPr>
          <w:rFonts w:ascii="Arial" w:hAnsi="Arial" w:cs="Arial"/>
          <w:sz w:val="24"/>
          <w:szCs w:val="24"/>
          <w:vertAlign w:val="superscript"/>
        </w:rPr>
        <w:t>(12)</w:t>
      </w:r>
    </w:p>
    <w:p w:rsidR="002E67F4" w:rsidRDefault="00F61ED4" w:rsidP="00A45B67">
      <w:pPr>
        <w:spacing w:line="360" w:lineRule="auto"/>
        <w:jc w:val="both"/>
        <w:rPr>
          <w:rFonts w:ascii="Arial" w:hAnsi="Arial" w:cs="Arial"/>
          <w:sz w:val="24"/>
          <w:szCs w:val="24"/>
        </w:rPr>
      </w:pPr>
      <w:r w:rsidRPr="00CA1802">
        <w:rPr>
          <w:rFonts w:ascii="Arial" w:hAnsi="Arial" w:cs="Arial"/>
          <w:b/>
          <w:sz w:val="24"/>
          <w:szCs w:val="24"/>
        </w:rPr>
        <w:t>Cuadro I.</w:t>
      </w:r>
      <w:r>
        <w:rPr>
          <w:rFonts w:ascii="Arial" w:hAnsi="Arial" w:cs="Arial"/>
          <w:sz w:val="24"/>
          <w:szCs w:val="24"/>
        </w:rPr>
        <w:t xml:space="preserve"> Escalas RIFLE</w:t>
      </w:r>
      <w:r w:rsidR="00B1026D">
        <w:rPr>
          <w:rFonts w:ascii="Arial" w:hAnsi="Arial" w:cs="Arial"/>
          <w:sz w:val="24"/>
          <w:szCs w:val="24"/>
        </w:rPr>
        <w:t xml:space="preserve"> (a)</w:t>
      </w:r>
      <w:r>
        <w:rPr>
          <w:rFonts w:ascii="Arial" w:hAnsi="Arial" w:cs="Arial"/>
          <w:sz w:val="24"/>
          <w:szCs w:val="24"/>
        </w:rPr>
        <w:t xml:space="preserve"> y AKIN</w:t>
      </w:r>
      <w:r w:rsidR="00B1026D">
        <w:rPr>
          <w:rFonts w:ascii="Arial" w:hAnsi="Arial" w:cs="Arial"/>
          <w:sz w:val="24"/>
          <w:szCs w:val="24"/>
        </w:rPr>
        <w:t xml:space="preserve"> (b)</w:t>
      </w:r>
    </w:p>
    <w:p w:rsidR="00F61ED4" w:rsidRDefault="00F61ED4" w:rsidP="00A45B67">
      <w:pPr>
        <w:spacing w:line="360" w:lineRule="auto"/>
        <w:jc w:val="both"/>
        <w:rPr>
          <w:rFonts w:ascii="Arial" w:hAnsi="Arial" w:cs="Arial"/>
          <w:sz w:val="24"/>
          <w:szCs w:val="24"/>
        </w:rPr>
      </w:pPr>
      <w:r w:rsidRPr="00F61ED4">
        <w:rPr>
          <w:rFonts w:ascii="Arial" w:hAnsi="Arial" w:cs="Arial"/>
          <w:noProof/>
          <w:sz w:val="24"/>
          <w:szCs w:val="24"/>
          <w:lang w:val="en-US" w:eastAsia="en-US"/>
        </w:rPr>
        <w:drawing>
          <wp:inline distT="0" distB="0" distL="0" distR="0">
            <wp:extent cx="5818831" cy="3278037"/>
            <wp:effectExtent l="19050" t="0" r="0" b="0"/>
            <wp:docPr id="4" name="Imagen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8">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818831" cy="3278037"/>
                    </a:xfrm>
                    <a:prstGeom prst="rect">
                      <a:avLst/>
                    </a:prstGeom>
                    <a:noFill/>
                    <a:ln>
                      <a:noFill/>
                    </a:ln>
                    <a:effectLst/>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p>
    <w:p w:rsidR="00F61ED4" w:rsidRDefault="00AB1ADE" w:rsidP="00A45B67">
      <w:pPr>
        <w:spacing w:line="360" w:lineRule="auto"/>
        <w:jc w:val="both"/>
        <w:rPr>
          <w:rFonts w:ascii="Arial" w:hAnsi="Arial" w:cs="Arial"/>
          <w:sz w:val="24"/>
          <w:szCs w:val="24"/>
          <w:lang w:val="es-ES_tradnl"/>
        </w:rPr>
      </w:pPr>
      <w:r w:rsidRPr="002A5340">
        <w:rPr>
          <w:rFonts w:ascii="Arial" w:hAnsi="Arial" w:cs="Arial"/>
          <w:sz w:val="24"/>
          <w:szCs w:val="24"/>
          <w:lang w:val="es-ES_tradnl"/>
        </w:rPr>
        <w:lastRenderedPageBreak/>
        <w:t>El fallo renal agudo es una enfermedad seria y es tratada como una emergencia médica. La mayor parte de l</w:t>
      </w:r>
      <w:r w:rsidR="00675945">
        <w:rPr>
          <w:rFonts w:ascii="Arial" w:hAnsi="Arial" w:cs="Arial"/>
          <w:sz w:val="24"/>
          <w:szCs w:val="24"/>
          <w:lang w:val="es-ES_tradnl"/>
        </w:rPr>
        <w:t>os casos con</w:t>
      </w:r>
      <w:r w:rsidRPr="002A5340">
        <w:rPr>
          <w:rFonts w:ascii="Arial" w:hAnsi="Arial" w:cs="Arial"/>
          <w:sz w:val="24"/>
          <w:szCs w:val="24"/>
          <w:lang w:val="es-ES_tradnl"/>
        </w:rPr>
        <w:t xml:space="preserve"> IRA son reversibles, puesto que el riñón destaca, entre todos los órganos vitales, por su capacidad de recuperarse de una pérdida casi completa de la función</w:t>
      </w:r>
      <w:r w:rsidR="00417B78">
        <w:rPr>
          <w:rFonts w:ascii="Arial" w:hAnsi="Arial" w:cs="Arial"/>
          <w:sz w:val="24"/>
          <w:szCs w:val="24"/>
          <w:lang w:val="es-ES_tradnl"/>
        </w:rPr>
        <w:t xml:space="preserve"> normal</w:t>
      </w:r>
      <w:r>
        <w:rPr>
          <w:rFonts w:ascii="Arial" w:hAnsi="Arial" w:cs="Arial"/>
          <w:sz w:val="24"/>
          <w:szCs w:val="24"/>
          <w:lang w:val="es-ES_tradnl"/>
        </w:rPr>
        <w:t xml:space="preserve">. </w:t>
      </w:r>
      <w:r w:rsidRPr="00EA703E">
        <w:rPr>
          <w:rFonts w:ascii="Arial" w:hAnsi="Arial" w:cs="Arial"/>
          <w:sz w:val="24"/>
          <w:szCs w:val="24"/>
          <w:vertAlign w:val="superscript"/>
          <w:lang w:val="es-ES_tradnl"/>
        </w:rPr>
        <w:t>(13)</w:t>
      </w:r>
    </w:p>
    <w:p w:rsidR="00AB1ADE" w:rsidRDefault="000A3B73" w:rsidP="00A45B67">
      <w:pPr>
        <w:spacing w:line="360" w:lineRule="auto"/>
        <w:jc w:val="both"/>
        <w:rPr>
          <w:rFonts w:ascii="Arial" w:hAnsi="Arial" w:cs="Arial"/>
          <w:sz w:val="24"/>
          <w:szCs w:val="24"/>
        </w:rPr>
      </w:pPr>
      <w:r w:rsidRPr="000A3B73">
        <w:rPr>
          <w:rFonts w:ascii="Arial" w:hAnsi="Arial" w:cs="Arial"/>
          <w:sz w:val="24"/>
          <w:szCs w:val="24"/>
          <w:lang w:val="es-ES_tradnl"/>
        </w:rPr>
        <w:t>La falta de mejora con la resucitación líquida, la hiper</w:t>
      </w:r>
      <w:r w:rsidR="00E22927">
        <w:rPr>
          <w:rFonts w:ascii="Arial" w:hAnsi="Arial" w:cs="Arial"/>
          <w:sz w:val="24"/>
          <w:szCs w:val="24"/>
          <w:lang w:val="es-ES_tradnl"/>
        </w:rPr>
        <w:t>potasemia</w:t>
      </w:r>
      <w:r w:rsidRPr="000A3B73">
        <w:rPr>
          <w:rFonts w:ascii="Arial" w:hAnsi="Arial" w:cs="Arial"/>
          <w:sz w:val="24"/>
          <w:szCs w:val="24"/>
          <w:lang w:val="es-ES_tradnl"/>
        </w:rPr>
        <w:t xml:space="preserve"> resistente a la terapia, la acidosis metabólica o la sobrecarga de líquidos puede hacer necesario el soporte artificial en la forma de </w:t>
      </w:r>
      <w:hyperlink r:id="rId19" w:tooltip="Diálisis renal" w:history="1">
        <w:r w:rsidRPr="000A3B73">
          <w:rPr>
            <w:rFonts w:ascii="Arial" w:hAnsi="Arial" w:cs="Arial"/>
            <w:sz w:val="24"/>
            <w:szCs w:val="24"/>
            <w:lang w:val="es-ES_tradnl"/>
          </w:rPr>
          <w:t>diálisis</w:t>
        </w:r>
      </w:hyperlink>
      <w:r w:rsidRPr="000A3B73">
        <w:rPr>
          <w:rFonts w:ascii="Arial" w:hAnsi="Arial" w:cs="Arial"/>
          <w:sz w:val="24"/>
          <w:szCs w:val="24"/>
          <w:lang w:val="es-ES_tradnl"/>
        </w:rPr>
        <w:t xml:space="preserve"> o </w:t>
      </w:r>
      <w:hyperlink r:id="rId20" w:tooltip="Hemofiltración" w:history="1">
        <w:r w:rsidRPr="000A3B73">
          <w:rPr>
            <w:rFonts w:ascii="Arial" w:hAnsi="Arial" w:cs="Arial"/>
            <w:sz w:val="24"/>
            <w:szCs w:val="24"/>
            <w:lang w:val="es-ES_tradnl"/>
          </w:rPr>
          <w:t>hemofiltración</w:t>
        </w:r>
      </w:hyperlink>
      <w:r w:rsidRPr="000A3B73">
        <w:rPr>
          <w:rFonts w:ascii="Arial" w:hAnsi="Arial" w:cs="Arial"/>
          <w:sz w:val="24"/>
          <w:szCs w:val="24"/>
          <w:lang w:val="es-ES_tradnl"/>
        </w:rPr>
        <w:t xml:space="preserve">. Dependiendo de la causa, una proporción de pacientes nunca recuperará la función renal completa, teniendo así insuficiencia renal terminal requiriendo diálisis de por vida o de un </w:t>
      </w:r>
      <w:hyperlink r:id="rId21" w:tooltip="Trasplante de riñón" w:history="1">
        <w:r w:rsidRPr="000A3B73">
          <w:rPr>
            <w:rFonts w:ascii="Arial" w:hAnsi="Arial" w:cs="Arial"/>
            <w:sz w:val="24"/>
            <w:szCs w:val="24"/>
            <w:lang w:val="es-ES_tradnl"/>
          </w:rPr>
          <w:t xml:space="preserve">trasplante </w:t>
        </w:r>
        <w:r w:rsidR="006F3B43">
          <w:rPr>
            <w:rFonts w:ascii="Arial" w:hAnsi="Arial" w:cs="Arial"/>
            <w:sz w:val="24"/>
            <w:szCs w:val="24"/>
            <w:lang w:val="es-ES_tradnl"/>
          </w:rPr>
          <w:t>renal</w:t>
        </w:r>
      </w:hyperlink>
      <w:r w:rsidRPr="000A3B73">
        <w:rPr>
          <w:rFonts w:ascii="Arial" w:hAnsi="Arial" w:cs="Arial"/>
          <w:sz w:val="24"/>
          <w:szCs w:val="24"/>
        </w:rPr>
        <w:t xml:space="preserve">. </w:t>
      </w:r>
      <w:r w:rsidRPr="00EA703E">
        <w:rPr>
          <w:rFonts w:ascii="Arial" w:hAnsi="Arial" w:cs="Arial"/>
          <w:sz w:val="24"/>
          <w:szCs w:val="24"/>
          <w:vertAlign w:val="superscript"/>
        </w:rPr>
        <w:t>(14</w:t>
      </w:r>
      <w:r w:rsidR="00E22927" w:rsidRPr="00EA703E">
        <w:rPr>
          <w:rFonts w:ascii="Arial" w:hAnsi="Arial" w:cs="Arial"/>
          <w:sz w:val="24"/>
          <w:szCs w:val="24"/>
          <w:vertAlign w:val="superscript"/>
        </w:rPr>
        <w:t>-16</w:t>
      </w:r>
      <w:r w:rsidRPr="00EA703E">
        <w:rPr>
          <w:rFonts w:ascii="Arial" w:hAnsi="Arial" w:cs="Arial"/>
          <w:sz w:val="24"/>
          <w:szCs w:val="24"/>
          <w:vertAlign w:val="superscript"/>
        </w:rPr>
        <w:t>)</w:t>
      </w:r>
    </w:p>
    <w:p w:rsidR="00E22927" w:rsidRDefault="005040A9" w:rsidP="00A45B67">
      <w:pPr>
        <w:spacing w:line="360" w:lineRule="auto"/>
        <w:jc w:val="both"/>
        <w:rPr>
          <w:rFonts w:ascii="Arial" w:hAnsi="Arial" w:cs="Arial"/>
          <w:sz w:val="24"/>
          <w:szCs w:val="24"/>
        </w:rPr>
      </w:pPr>
      <w:r w:rsidRPr="005040A9">
        <w:rPr>
          <w:rFonts w:ascii="Arial" w:hAnsi="Arial" w:cs="Arial"/>
          <w:sz w:val="24"/>
          <w:szCs w:val="24"/>
        </w:rPr>
        <w:t xml:space="preserve">En el diagnóstico y seguimiento de los pacientes con IRA cobran especial valor, el volumen de orina y las determinaciones seriadas de urea y creatinina. El descenso en el funcionamiento renal puede acompañarse de oliguria (menos de 500 ml de diuresis al día) o anuria (diuresis diaria menor de 100 ml), denominándose estos cuadros IRA </w:t>
      </w:r>
      <w:proofErr w:type="spellStart"/>
      <w:r w:rsidRPr="005040A9">
        <w:rPr>
          <w:rFonts w:ascii="Arial" w:hAnsi="Arial" w:cs="Arial"/>
          <w:sz w:val="24"/>
          <w:szCs w:val="24"/>
        </w:rPr>
        <w:t>oligúrica</w:t>
      </w:r>
      <w:proofErr w:type="spellEnd"/>
      <w:r w:rsidRPr="005040A9">
        <w:rPr>
          <w:rFonts w:ascii="Arial" w:hAnsi="Arial" w:cs="Arial"/>
          <w:sz w:val="24"/>
          <w:szCs w:val="24"/>
        </w:rPr>
        <w:t xml:space="preserve"> u </w:t>
      </w:r>
      <w:proofErr w:type="spellStart"/>
      <w:r w:rsidRPr="005040A9">
        <w:rPr>
          <w:rFonts w:ascii="Arial" w:hAnsi="Arial" w:cs="Arial"/>
          <w:sz w:val="24"/>
          <w:szCs w:val="24"/>
        </w:rPr>
        <w:t>oligoanúrica</w:t>
      </w:r>
      <w:proofErr w:type="spellEnd"/>
      <w:r w:rsidRPr="005040A9">
        <w:rPr>
          <w:rFonts w:ascii="Arial" w:hAnsi="Arial" w:cs="Arial"/>
          <w:sz w:val="24"/>
          <w:szCs w:val="24"/>
        </w:rPr>
        <w:t>; en la mitad de los casos la diuresis de estos pacientes puede estar conservada, hablándose entonces de IRA no oligúrica</w:t>
      </w:r>
      <w:r>
        <w:rPr>
          <w:rFonts w:ascii="Arial" w:hAnsi="Arial" w:cs="Arial"/>
          <w:sz w:val="24"/>
          <w:szCs w:val="24"/>
        </w:rPr>
        <w:t xml:space="preserve">. </w:t>
      </w:r>
      <w:r w:rsidRPr="00EA703E">
        <w:rPr>
          <w:rFonts w:ascii="Arial" w:hAnsi="Arial" w:cs="Arial"/>
          <w:sz w:val="24"/>
          <w:szCs w:val="24"/>
          <w:vertAlign w:val="superscript"/>
        </w:rPr>
        <w:t>(17)</w:t>
      </w:r>
    </w:p>
    <w:p w:rsidR="005040A9" w:rsidRDefault="004748E4" w:rsidP="00A45B67">
      <w:pPr>
        <w:spacing w:line="360" w:lineRule="auto"/>
        <w:jc w:val="both"/>
        <w:rPr>
          <w:rFonts w:ascii="Arial" w:hAnsi="Arial" w:cs="Arial"/>
          <w:sz w:val="24"/>
          <w:szCs w:val="24"/>
        </w:rPr>
      </w:pPr>
      <w:r w:rsidRPr="004748E4">
        <w:rPr>
          <w:rFonts w:ascii="Arial" w:hAnsi="Arial" w:cs="Arial"/>
          <w:sz w:val="24"/>
          <w:szCs w:val="24"/>
        </w:rPr>
        <w:t>En cuanto a la urea, conviene aclarar que su origen diverso y su complicado metabolismo la hacen menos útil que la creatinina para el manejo del paciente con IRA cuyos niveles dependen del metabolismo muscular y de la eliminación renal. Así, habitualmente se admite para el diagnóstico que en la IRA la creatinina sérica debe aumentar 0.5 mg% al día sobre los valores basales si estos son menores de 3 mg%. En cualquier caso, el aclaramiento de creatinina calculado debe reducirse un 50% en los casos donde el riñón fracasa de forma aguda</w:t>
      </w:r>
      <w:r>
        <w:rPr>
          <w:rFonts w:ascii="Arial" w:hAnsi="Arial" w:cs="Arial"/>
          <w:sz w:val="24"/>
          <w:szCs w:val="24"/>
        </w:rPr>
        <w:t xml:space="preserve">. </w:t>
      </w:r>
      <w:r w:rsidRPr="00EA703E">
        <w:rPr>
          <w:rFonts w:ascii="Arial" w:hAnsi="Arial" w:cs="Arial"/>
          <w:sz w:val="24"/>
          <w:szCs w:val="24"/>
          <w:vertAlign w:val="superscript"/>
        </w:rPr>
        <w:t>(18)</w:t>
      </w:r>
    </w:p>
    <w:p w:rsidR="00405D4C" w:rsidRDefault="00405D4C" w:rsidP="00A45B67">
      <w:pPr>
        <w:spacing w:line="360" w:lineRule="auto"/>
        <w:jc w:val="both"/>
        <w:rPr>
          <w:rFonts w:ascii="Arial" w:hAnsi="Arial" w:cs="Arial"/>
          <w:sz w:val="24"/>
          <w:szCs w:val="24"/>
        </w:rPr>
      </w:pPr>
      <w:r>
        <w:rPr>
          <w:rFonts w:ascii="Arial" w:hAnsi="Arial" w:cs="Arial"/>
          <w:sz w:val="24"/>
          <w:szCs w:val="24"/>
        </w:rPr>
        <w:t>La asociación de la urea y la creatinina, en un solo elemento, el cociente urea/creatinina ha sido propuesto como marcador para diferenciar la injuria renal aguda prer</w:t>
      </w:r>
      <w:r w:rsidR="00E30FF4">
        <w:rPr>
          <w:rFonts w:ascii="Arial" w:hAnsi="Arial" w:cs="Arial"/>
          <w:sz w:val="24"/>
          <w:szCs w:val="24"/>
        </w:rPr>
        <w:t>r</w:t>
      </w:r>
      <w:r>
        <w:rPr>
          <w:rFonts w:ascii="Arial" w:hAnsi="Arial" w:cs="Arial"/>
          <w:sz w:val="24"/>
          <w:szCs w:val="24"/>
        </w:rPr>
        <w:t>enal de la renal o intrínseca</w:t>
      </w:r>
      <w:r w:rsidR="00993DBE">
        <w:rPr>
          <w:rFonts w:ascii="Arial" w:hAnsi="Arial" w:cs="Arial"/>
          <w:sz w:val="24"/>
          <w:szCs w:val="24"/>
        </w:rPr>
        <w:t xml:space="preserve"> </w:t>
      </w:r>
      <w:r w:rsidR="00993DBE" w:rsidRPr="00EA703E">
        <w:rPr>
          <w:rFonts w:ascii="Arial" w:hAnsi="Arial" w:cs="Arial"/>
          <w:sz w:val="24"/>
          <w:szCs w:val="24"/>
          <w:vertAlign w:val="superscript"/>
        </w:rPr>
        <w:t>(19,20)</w:t>
      </w:r>
      <w:r>
        <w:rPr>
          <w:rFonts w:ascii="Arial" w:hAnsi="Arial" w:cs="Arial"/>
          <w:sz w:val="24"/>
          <w:szCs w:val="24"/>
        </w:rPr>
        <w:t>, a pesar de ello la validación de estos estudios en la comunidad científica es escasa y no se ha evaluado aún a este marcador como predictor de mortalidad hospitalaria a corto plazo.</w:t>
      </w:r>
    </w:p>
    <w:p w:rsidR="00A835A5" w:rsidRDefault="00A835A5" w:rsidP="00A45B67">
      <w:pPr>
        <w:spacing w:line="360" w:lineRule="auto"/>
        <w:jc w:val="both"/>
        <w:rPr>
          <w:rFonts w:ascii="Arial" w:hAnsi="Arial" w:cs="Arial"/>
          <w:sz w:val="24"/>
          <w:szCs w:val="24"/>
        </w:rPr>
      </w:pPr>
      <w:r w:rsidRPr="00A835A5">
        <w:rPr>
          <w:rFonts w:ascii="Arial" w:hAnsi="Arial" w:cs="Arial"/>
          <w:sz w:val="24"/>
          <w:szCs w:val="24"/>
        </w:rPr>
        <w:lastRenderedPageBreak/>
        <w:t>En nuestro país es necesario establecer escalas de riesgo</w:t>
      </w:r>
      <w:r>
        <w:rPr>
          <w:rFonts w:ascii="Arial" w:hAnsi="Arial" w:cs="Arial"/>
          <w:sz w:val="24"/>
          <w:szCs w:val="24"/>
        </w:rPr>
        <w:t xml:space="preserve"> de mortalidad</w:t>
      </w:r>
      <w:r w:rsidRPr="00A835A5">
        <w:rPr>
          <w:rFonts w:ascii="Arial" w:hAnsi="Arial" w:cs="Arial"/>
          <w:sz w:val="24"/>
          <w:szCs w:val="24"/>
        </w:rPr>
        <w:t xml:space="preserve"> en pacientes con </w:t>
      </w:r>
      <w:r>
        <w:rPr>
          <w:rFonts w:ascii="Arial" w:hAnsi="Arial" w:cs="Arial"/>
          <w:sz w:val="24"/>
          <w:szCs w:val="24"/>
        </w:rPr>
        <w:t>IRA</w:t>
      </w:r>
      <w:r w:rsidRPr="00A835A5">
        <w:rPr>
          <w:rFonts w:ascii="Arial" w:hAnsi="Arial" w:cs="Arial"/>
          <w:sz w:val="24"/>
          <w:szCs w:val="24"/>
        </w:rPr>
        <w:t xml:space="preserve"> para poder darles un adecuado seguimiento y tratamiento, y así modificar las tasas de defunción por esta causa.</w:t>
      </w:r>
    </w:p>
    <w:p w:rsidR="00A835A5" w:rsidRDefault="001D33B6" w:rsidP="00A45B67">
      <w:pPr>
        <w:spacing w:line="360" w:lineRule="auto"/>
        <w:jc w:val="both"/>
        <w:rPr>
          <w:rFonts w:ascii="Arial" w:hAnsi="Arial" w:cs="Arial"/>
          <w:sz w:val="24"/>
          <w:szCs w:val="24"/>
        </w:rPr>
      </w:pPr>
      <w:r w:rsidRPr="001D33B6">
        <w:rPr>
          <w:rFonts w:ascii="Arial" w:hAnsi="Arial" w:cs="Arial"/>
          <w:sz w:val="24"/>
          <w:szCs w:val="24"/>
        </w:rPr>
        <w:t>Lo anteriormente expuesto constituyó la motivación científica de la presente investigación.</w:t>
      </w:r>
    </w:p>
    <w:p w:rsidR="00F52AD6" w:rsidRPr="00F52AD6" w:rsidRDefault="00F52AD6" w:rsidP="00F52AD6">
      <w:pPr>
        <w:spacing w:line="360" w:lineRule="auto"/>
        <w:jc w:val="both"/>
        <w:rPr>
          <w:rFonts w:ascii="Arial" w:hAnsi="Arial" w:cs="Arial"/>
          <w:b/>
          <w:sz w:val="24"/>
          <w:szCs w:val="24"/>
          <w:u w:val="single"/>
        </w:rPr>
      </w:pPr>
      <w:r w:rsidRPr="00F52AD6">
        <w:rPr>
          <w:rFonts w:ascii="Arial" w:hAnsi="Arial" w:cs="Arial"/>
          <w:b/>
          <w:sz w:val="24"/>
          <w:szCs w:val="24"/>
          <w:u w:val="single"/>
        </w:rPr>
        <w:t>Justificación de la investigación</w:t>
      </w:r>
      <w:r>
        <w:rPr>
          <w:rFonts w:ascii="Arial" w:hAnsi="Arial" w:cs="Arial"/>
          <w:b/>
          <w:sz w:val="24"/>
          <w:szCs w:val="24"/>
          <w:u w:val="single"/>
        </w:rPr>
        <w:t>:</w:t>
      </w:r>
      <w:r w:rsidRPr="00F52AD6">
        <w:rPr>
          <w:rFonts w:ascii="Arial" w:hAnsi="Arial" w:cs="Arial"/>
          <w:b/>
          <w:sz w:val="24"/>
          <w:szCs w:val="24"/>
          <w:u w:val="single"/>
        </w:rPr>
        <w:t xml:space="preserve"> </w:t>
      </w:r>
    </w:p>
    <w:p w:rsidR="00A95C5D" w:rsidRDefault="00F52AD6" w:rsidP="00F52AD6">
      <w:pPr>
        <w:spacing w:line="360" w:lineRule="auto"/>
        <w:jc w:val="both"/>
        <w:rPr>
          <w:rFonts w:ascii="Arial" w:hAnsi="Arial" w:cs="Arial"/>
          <w:sz w:val="24"/>
          <w:szCs w:val="24"/>
        </w:rPr>
      </w:pPr>
      <w:r w:rsidRPr="00F52AD6">
        <w:rPr>
          <w:rFonts w:ascii="Arial" w:hAnsi="Arial" w:cs="Arial"/>
          <w:sz w:val="24"/>
          <w:szCs w:val="24"/>
        </w:rPr>
        <w:t>La realización de la presente investigación cobra vital importancia dado que la elaboración de estudios clínico-epidemiológicos en contextos propios, para identificar el comportamiento de diferentes modelos y factores pronóstico, es siempre conveniente debido a las variacion</w:t>
      </w:r>
      <w:r w:rsidR="00DE7B7F">
        <w:rPr>
          <w:rFonts w:ascii="Arial" w:hAnsi="Arial" w:cs="Arial"/>
          <w:sz w:val="24"/>
          <w:szCs w:val="24"/>
        </w:rPr>
        <w:t xml:space="preserve">es de ámbitos geográficos y de </w:t>
      </w:r>
      <w:r w:rsidRPr="00F52AD6">
        <w:rPr>
          <w:rFonts w:ascii="Arial" w:hAnsi="Arial" w:cs="Arial"/>
          <w:sz w:val="24"/>
          <w:szCs w:val="24"/>
        </w:rPr>
        <w:t xml:space="preserve">protocolos de tratamiento, que indudablemente influyen en su desempeño. </w:t>
      </w:r>
    </w:p>
    <w:p w:rsidR="00A95C5D" w:rsidRDefault="00F52AD6" w:rsidP="00F52AD6">
      <w:pPr>
        <w:spacing w:line="360" w:lineRule="auto"/>
        <w:jc w:val="both"/>
        <w:rPr>
          <w:rFonts w:ascii="Arial" w:hAnsi="Arial" w:cs="Arial"/>
          <w:sz w:val="24"/>
          <w:szCs w:val="24"/>
        </w:rPr>
      </w:pPr>
      <w:r w:rsidRPr="00F52AD6">
        <w:rPr>
          <w:rFonts w:ascii="Arial" w:hAnsi="Arial" w:cs="Arial"/>
          <w:sz w:val="24"/>
          <w:szCs w:val="24"/>
        </w:rPr>
        <w:t xml:space="preserve">Se han publicado pocos estudios con respecto a la validación del </w:t>
      </w:r>
      <w:r w:rsidR="00DE7B7F">
        <w:rPr>
          <w:rFonts w:ascii="Arial" w:hAnsi="Arial" w:cs="Arial"/>
          <w:sz w:val="24"/>
          <w:szCs w:val="24"/>
        </w:rPr>
        <w:t xml:space="preserve">cociente urea/creatinina </w:t>
      </w:r>
      <w:r w:rsidRPr="00F52AD6">
        <w:rPr>
          <w:rFonts w:ascii="Arial" w:hAnsi="Arial" w:cs="Arial"/>
          <w:sz w:val="24"/>
          <w:szCs w:val="24"/>
        </w:rPr>
        <w:t xml:space="preserve">como factor pronóstico de mortalidad en pacientes con </w:t>
      </w:r>
      <w:r w:rsidR="00DE7B7F">
        <w:rPr>
          <w:rFonts w:ascii="Arial" w:hAnsi="Arial" w:cs="Arial"/>
          <w:sz w:val="24"/>
          <w:szCs w:val="24"/>
        </w:rPr>
        <w:t>injuria renal aguda prer</w:t>
      </w:r>
      <w:r w:rsidR="00E30FF4">
        <w:rPr>
          <w:rFonts w:ascii="Arial" w:hAnsi="Arial" w:cs="Arial"/>
          <w:sz w:val="24"/>
          <w:szCs w:val="24"/>
        </w:rPr>
        <w:t>r</w:t>
      </w:r>
      <w:r w:rsidR="00DE7B7F">
        <w:rPr>
          <w:rFonts w:ascii="Arial" w:hAnsi="Arial" w:cs="Arial"/>
          <w:sz w:val="24"/>
          <w:szCs w:val="24"/>
        </w:rPr>
        <w:t>enal</w:t>
      </w:r>
      <w:r w:rsidRPr="00F52AD6">
        <w:rPr>
          <w:rFonts w:ascii="Arial" w:hAnsi="Arial" w:cs="Arial"/>
          <w:sz w:val="24"/>
          <w:szCs w:val="24"/>
        </w:rPr>
        <w:t xml:space="preserve">, lo que permite que investigaciones que se realicen sobre el tema sean consideradas como necesidad científica. </w:t>
      </w:r>
    </w:p>
    <w:p w:rsidR="003008CF" w:rsidRDefault="00F52AD6" w:rsidP="00F52AD6">
      <w:pPr>
        <w:spacing w:line="360" w:lineRule="auto"/>
        <w:jc w:val="both"/>
        <w:rPr>
          <w:rFonts w:ascii="Arial" w:hAnsi="Arial" w:cs="Arial"/>
          <w:sz w:val="24"/>
          <w:szCs w:val="24"/>
        </w:rPr>
      </w:pPr>
      <w:r w:rsidRPr="00F52AD6">
        <w:rPr>
          <w:rFonts w:ascii="Arial" w:hAnsi="Arial" w:cs="Arial"/>
          <w:sz w:val="24"/>
          <w:szCs w:val="24"/>
        </w:rPr>
        <w:t xml:space="preserve">Este estudio en la provincia permite conocer la magnitud de este fenómeno y establecer un registro oficial. Determinar los factores de riesgo aporta datos para la estratificación del riesgo de estos pacientes, de esta </w:t>
      </w:r>
      <w:r w:rsidR="00CB14F3">
        <w:rPr>
          <w:rFonts w:ascii="Arial" w:hAnsi="Arial" w:cs="Arial"/>
          <w:sz w:val="24"/>
          <w:szCs w:val="24"/>
        </w:rPr>
        <w:t>forma</w:t>
      </w:r>
      <w:r w:rsidRPr="00F52AD6">
        <w:rPr>
          <w:rFonts w:ascii="Arial" w:hAnsi="Arial" w:cs="Arial"/>
          <w:sz w:val="24"/>
          <w:szCs w:val="24"/>
        </w:rPr>
        <w:t xml:space="preserve"> se personaliza el tratamiento, lo que posibilita una actuación terapéutica más certera y un seguimiento riguroso en los casos de moderado y alto riesgo, lo cual permitirá elevar la calidad de vida de los enfermos y disminuir  la progresión de la enfermedad a estadios finales y consecuentemente a la muerte.</w:t>
      </w:r>
    </w:p>
    <w:p w:rsidR="00DE7B7F" w:rsidRDefault="00AF0243" w:rsidP="00A95C5D">
      <w:pPr>
        <w:spacing w:after="0" w:line="360" w:lineRule="auto"/>
        <w:jc w:val="both"/>
        <w:rPr>
          <w:rFonts w:ascii="Arial" w:hAnsi="Arial" w:cs="Arial"/>
          <w:b/>
          <w:sz w:val="24"/>
          <w:szCs w:val="24"/>
          <w:u w:val="single"/>
        </w:rPr>
      </w:pPr>
      <w:r w:rsidRPr="00AF0243">
        <w:rPr>
          <w:rFonts w:ascii="Arial" w:hAnsi="Arial" w:cs="Arial"/>
          <w:sz w:val="24"/>
          <w:szCs w:val="24"/>
        </w:rPr>
        <w:t xml:space="preserve">Debido a los argumentos anteriores se plantea el siguiente </w:t>
      </w:r>
      <w:r w:rsidRPr="00AF0243">
        <w:rPr>
          <w:rFonts w:ascii="Arial" w:hAnsi="Arial" w:cs="Arial"/>
          <w:b/>
          <w:sz w:val="24"/>
          <w:szCs w:val="24"/>
          <w:u w:val="single"/>
        </w:rPr>
        <w:t>problema científico:</w:t>
      </w:r>
    </w:p>
    <w:p w:rsidR="00AF0243" w:rsidRDefault="00B351DE" w:rsidP="00A95C5D">
      <w:pPr>
        <w:spacing w:after="0" w:line="360" w:lineRule="auto"/>
        <w:jc w:val="both"/>
        <w:rPr>
          <w:rFonts w:ascii="Arial" w:hAnsi="Arial" w:cs="Arial"/>
          <w:sz w:val="24"/>
          <w:szCs w:val="24"/>
        </w:rPr>
      </w:pPr>
      <w:r w:rsidRPr="00B351DE">
        <w:rPr>
          <w:rFonts w:ascii="Arial" w:hAnsi="Arial" w:cs="Arial"/>
          <w:sz w:val="24"/>
          <w:szCs w:val="24"/>
        </w:rPr>
        <w:t xml:space="preserve">¿Cuál es el valor pronóstico </w:t>
      </w:r>
      <w:r>
        <w:rPr>
          <w:rFonts w:ascii="Arial" w:hAnsi="Arial" w:cs="Arial"/>
          <w:sz w:val="24"/>
          <w:szCs w:val="24"/>
        </w:rPr>
        <w:t>de mortalidad a corto plazo del cociente urea/creatinina en pacientes con injuria renal aguda prer</w:t>
      </w:r>
      <w:r w:rsidR="00E30FF4">
        <w:rPr>
          <w:rFonts w:ascii="Arial" w:hAnsi="Arial" w:cs="Arial"/>
          <w:sz w:val="24"/>
          <w:szCs w:val="24"/>
        </w:rPr>
        <w:t>r</w:t>
      </w:r>
      <w:r>
        <w:rPr>
          <w:rFonts w:ascii="Arial" w:hAnsi="Arial" w:cs="Arial"/>
          <w:sz w:val="24"/>
          <w:szCs w:val="24"/>
        </w:rPr>
        <w:t>enal</w:t>
      </w:r>
      <w:r w:rsidRPr="00B351DE">
        <w:rPr>
          <w:rFonts w:ascii="Arial" w:hAnsi="Arial" w:cs="Arial"/>
          <w:sz w:val="24"/>
          <w:szCs w:val="24"/>
        </w:rPr>
        <w:t>?</w:t>
      </w:r>
    </w:p>
    <w:p w:rsidR="00B351DE" w:rsidRDefault="00B351DE" w:rsidP="00F52AD6">
      <w:pPr>
        <w:spacing w:line="360" w:lineRule="auto"/>
        <w:jc w:val="both"/>
        <w:rPr>
          <w:rFonts w:ascii="Arial" w:hAnsi="Arial" w:cs="Arial"/>
          <w:b/>
          <w:sz w:val="24"/>
          <w:szCs w:val="24"/>
        </w:rPr>
      </w:pPr>
      <w:r w:rsidRPr="00B351DE">
        <w:rPr>
          <w:rFonts w:ascii="Arial" w:hAnsi="Arial" w:cs="Arial"/>
          <w:b/>
          <w:sz w:val="24"/>
          <w:szCs w:val="24"/>
        </w:rPr>
        <w:t>Hipótesis:</w:t>
      </w:r>
    </w:p>
    <w:p w:rsidR="00B351DE" w:rsidRDefault="00B351DE" w:rsidP="00F52AD6">
      <w:pPr>
        <w:spacing w:line="360" w:lineRule="auto"/>
        <w:jc w:val="both"/>
        <w:rPr>
          <w:rFonts w:ascii="Arial" w:hAnsi="Arial" w:cs="Arial"/>
          <w:sz w:val="24"/>
          <w:szCs w:val="24"/>
        </w:rPr>
      </w:pPr>
      <w:r>
        <w:rPr>
          <w:rFonts w:ascii="Arial" w:hAnsi="Arial" w:cs="Arial"/>
          <w:sz w:val="24"/>
          <w:szCs w:val="24"/>
        </w:rPr>
        <w:t>El cociente urea/creatinina es un buen predictor de mortalidad a corto plazo en los pacientes con injuria renal aguda prer</w:t>
      </w:r>
      <w:r w:rsidR="00E30FF4">
        <w:rPr>
          <w:rFonts w:ascii="Arial" w:hAnsi="Arial" w:cs="Arial"/>
          <w:sz w:val="24"/>
          <w:szCs w:val="24"/>
        </w:rPr>
        <w:t>r</w:t>
      </w:r>
      <w:r>
        <w:rPr>
          <w:rFonts w:ascii="Arial" w:hAnsi="Arial" w:cs="Arial"/>
          <w:sz w:val="24"/>
          <w:szCs w:val="24"/>
        </w:rPr>
        <w:t>enal.</w:t>
      </w:r>
    </w:p>
    <w:p w:rsidR="00594FFF" w:rsidRDefault="00594FFF" w:rsidP="00594FFF">
      <w:pPr>
        <w:spacing w:line="360" w:lineRule="auto"/>
        <w:jc w:val="center"/>
        <w:rPr>
          <w:rFonts w:ascii="Arial" w:hAnsi="Arial" w:cs="Arial"/>
          <w:b/>
          <w:sz w:val="24"/>
          <w:szCs w:val="24"/>
        </w:rPr>
      </w:pPr>
      <w:r w:rsidRPr="00594FFF">
        <w:rPr>
          <w:rFonts w:ascii="Arial" w:hAnsi="Arial" w:cs="Arial"/>
          <w:b/>
          <w:sz w:val="24"/>
          <w:szCs w:val="24"/>
        </w:rPr>
        <w:lastRenderedPageBreak/>
        <w:t>OBJETIVO</w:t>
      </w:r>
    </w:p>
    <w:p w:rsidR="00594FFF" w:rsidRDefault="002D2823" w:rsidP="004929D5">
      <w:pPr>
        <w:spacing w:line="360" w:lineRule="auto"/>
        <w:jc w:val="both"/>
        <w:rPr>
          <w:rFonts w:ascii="Arial" w:hAnsi="Arial" w:cs="Arial"/>
          <w:sz w:val="24"/>
          <w:szCs w:val="24"/>
        </w:rPr>
      </w:pPr>
      <w:r>
        <w:rPr>
          <w:rFonts w:ascii="Arial" w:hAnsi="Arial" w:cs="Arial"/>
          <w:sz w:val="24"/>
          <w:szCs w:val="24"/>
        </w:rPr>
        <w:t xml:space="preserve">Determinar el valor pronóstico de mortalidad a corto plazo del cociente urea/creatinina en pacientes con </w:t>
      </w:r>
      <w:r w:rsidR="002B7118">
        <w:rPr>
          <w:rFonts w:ascii="Arial" w:hAnsi="Arial" w:cs="Arial"/>
          <w:sz w:val="24"/>
          <w:szCs w:val="24"/>
        </w:rPr>
        <w:t>lesión</w:t>
      </w:r>
      <w:r>
        <w:rPr>
          <w:rFonts w:ascii="Arial" w:hAnsi="Arial" w:cs="Arial"/>
          <w:sz w:val="24"/>
          <w:szCs w:val="24"/>
        </w:rPr>
        <w:t xml:space="preserve"> renal aguda prer</w:t>
      </w:r>
      <w:r w:rsidR="00E30FF4">
        <w:rPr>
          <w:rFonts w:ascii="Arial" w:hAnsi="Arial" w:cs="Arial"/>
          <w:sz w:val="24"/>
          <w:szCs w:val="24"/>
        </w:rPr>
        <w:t>r</w:t>
      </w:r>
      <w:r>
        <w:rPr>
          <w:rFonts w:ascii="Arial" w:hAnsi="Arial" w:cs="Arial"/>
          <w:sz w:val="24"/>
          <w:szCs w:val="24"/>
        </w:rPr>
        <w:t>enal.</w:t>
      </w: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4929D5">
      <w:pPr>
        <w:spacing w:line="360" w:lineRule="auto"/>
        <w:jc w:val="both"/>
        <w:rPr>
          <w:rFonts w:ascii="Arial" w:hAnsi="Arial" w:cs="Arial"/>
          <w:sz w:val="24"/>
          <w:szCs w:val="24"/>
        </w:rPr>
      </w:pPr>
    </w:p>
    <w:p w:rsidR="002D2823" w:rsidRDefault="002D2823" w:rsidP="002D2823">
      <w:pPr>
        <w:spacing w:line="360" w:lineRule="auto"/>
        <w:jc w:val="center"/>
        <w:rPr>
          <w:rFonts w:ascii="Arial" w:hAnsi="Arial" w:cs="Arial"/>
          <w:b/>
          <w:sz w:val="24"/>
          <w:szCs w:val="24"/>
        </w:rPr>
      </w:pPr>
      <w:r w:rsidRPr="002D2823">
        <w:rPr>
          <w:rFonts w:ascii="Arial" w:hAnsi="Arial" w:cs="Arial"/>
          <w:b/>
          <w:sz w:val="24"/>
          <w:szCs w:val="24"/>
        </w:rPr>
        <w:lastRenderedPageBreak/>
        <w:t>DISEÑO METODOLÓGICO</w:t>
      </w:r>
    </w:p>
    <w:p w:rsidR="00A37DBF" w:rsidRDefault="00A37DBF" w:rsidP="00A37DBF">
      <w:pPr>
        <w:spacing w:line="360" w:lineRule="auto"/>
        <w:jc w:val="both"/>
        <w:rPr>
          <w:rFonts w:ascii="Arial" w:hAnsi="Arial" w:cs="Arial"/>
          <w:sz w:val="24"/>
          <w:szCs w:val="24"/>
          <w:u w:val="single"/>
        </w:rPr>
      </w:pPr>
      <w:r>
        <w:rPr>
          <w:rFonts w:ascii="Arial" w:hAnsi="Arial" w:cs="Arial"/>
          <w:sz w:val="24"/>
          <w:szCs w:val="24"/>
          <w:u w:val="single"/>
        </w:rPr>
        <w:t>C</w:t>
      </w:r>
      <w:r w:rsidRPr="00AE699B">
        <w:rPr>
          <w:rFonts w:ascii="Arial" w:hAnsi="Arial" w:cs="Arial"/>
          <w:sz w:val="24"/>
          <w:szCs w:val="24"/>
          <w:u w:val="single"/>
        </w:rPr>
        <w:t xml:space="preserve">lasificación </w:t>
      </w:r>
      <w:r w:rsidRPr="008E361D">
        <w:rPr>
          <w:rFonts w:ascii="Arial" w:hAnsi="Arial" w:cs="Arial"/>
          <w:sz w:val="24"/>
          <w:szCs w:val="24"/>
          <w:u w:val="single"/>
        </w:rPr>
        <w:t>de</w:t>
      </w:r>
      <w:r>
        <w:rPr>
          <w:rFonts w:ascii="Arial" w:hAnsi="Arial" w:cs="Arial"/>
          <w:sz w:val="24"/>
          <w:szCs w:val="24"/>
          <w:u w:val="single"/>
        </w:rPr>
        <w:t xml:space="preserve"> la investigación</w:t>
      </w:r>
      <w:r w:rsidRPr="008E361D">
        <w:rPr>
          <w:rFonts w:ascii="Arial" w:hAnsi="Arial" w:cs="Arial"/>
          <w:sz w:val="24"/>
          <w:szCs w:val="24"/>
          <w:u w:val="single"/>
        </w:rPr>
        <w:t>:</w:t>
      </w:r>
    </w:p>
    <w:p w:rsidR="00A37DBF" w:rsidRDefault="00A37DBF" w:rsidP="00A37DBF">
      <w:pPr>
        <w:spacing w:line="360" w:lineRule="auto"/>
        <w:jc w:val="both"/>
        <w:rPr>
          <w:rFonts w:ascii="Arial" w:hAnsi="Arial" w:cs="Arial"/>
          <w:sz w:val="24"/>
          <w:szCs w:val="24"/>
        </w:rPr>
      </w:pPr>
      <w:r>
        <w:rPr>
          <w:rFonts w:ascii="Arial" w:hAnsi="Arial" w:cs="Arial"/>
          <w:sz w:val="24"/>
          <w:szCs w:val="24"/>
        </w:rPr>
        <w:t xml:space="preserve">Se realizó un estudio observacional analítico de cohorte </w:t>
      </w:r>
      <w:r w:rsidR="00CB14F3">
        <w:rPr>
          <w:rFonts w:ascii="Arial" w:hAnsi="Arial" w:cs="Arial"/>
          <w:sz w:val="24"/>
          <w:szCs w:val="24"/>
        </w:rPr>
        <w:t>prospectivo</w:t>
      </w:r>
      <w:r>
        <w:rPr>
          <w:rFonts w:ascii="Arial" w:hAnsi="Arial" w:cs="Arial"/>
          <w:sz w:val="24"/>
          <w:szCs w:val="24"/>
        </w:rPr>
        <w:t xml:space="preserve"> en pacientes que fueron admitidos en el Hospital General Docente “Dr. Ernesto Guevara de la Serna” por presentar injuria renal aguda prer</w:t>
      </w:r>
      <w:r w:rsidR="00E30FF4">
        <w:rPr>
          <w:rFonts w:ascii="Arial" w:hAnsi="Arial" w:cs="Arial"/>
          <w:sz w:val="24"/>
          <w:szCs w:val="24"/>
        </w:rPr>
        <w:t>r</w:t>
      </w:r>
      <w:r>
        <w:rPr>
          <w:rFonts w:ascii="Arial" w:hAnsi="Arial" w:cs="Arial"/>
          <w:sz w:val="24"/>
          <w:szCs w:val="24"/>
        </w:rPr>
        <w:t>enal según los criterios RIFL</w:t>
      </w:r>
      <w:r w:rsidR="008D64AE">
        <w:rPr>
          <w:rFonts w:ascii="Arial" w:hAnsi="Arial" w:cs="Arial"/>
          <w:sz w:val="24"/>
          <w:szCs w:val="24"/>
        </w:rPr>
        <w:t xml:space="preserve">E Y AKIN </w:t>
      </w:r>
      <w:r w:rsidR="008D64AE" w:rsidRPr="00A95C5D">
        <w:rPr>
          <w:rFonts w:ascii="Arial" w:hAnsi="Arial" w:cs="Arial"/>
          <w:sz w:val="24"/>
          <w:szCs w:val="24"/>
          <w:vertAlign w:val="superscript"/>
        </w:rPr>
        <w:t>(12)</w:t>
      </w:r>
      <w:r w:rsidR="008D64AE">
        <w:rPr>
          <w:rFonts w:ascii="Arial" w:hAnsi="Arial" w:cs="Arial"/>
          <w:sz w:val="24"/>
          <w:szCs w:val="24"/>
        </w:rPr>
        <w:t xml:space="preserve"> </w:t>
      </w:r>
      <w:r>
        <w:rPr>
          <w:rFonts w:ascii="Arial" w:hAnsi="Arial" w:cs="Arial"/>
          <w:sz w:val="24"/>
          <w:szCs w:val="24"/>
        </w:rPr>
        <w:t>y que fueron atendidos en la Unidad de Cuidados intensivos; en el período comprendido entre enero de 20</w:t>
      </w:r>
      <w:r w:rsidR="002B7118">
        <w:rPr>
          <w:rFonts w:ascii="Arial" w:hAnsi="Arial" w:cs="Arial"/>
          <w:sz w:val="24"/>
          <w:szCs w:val="24"/>
        </w:rPr>
        <w:t>21</w:t>
      </w:r>
      <w:r>
        <w:rPr>
          <w:rFonts w:ascii="Arial" w:hAnsi="Arial" w:cs="Arial"/>
          <w:sz w:val="24"/>
          <w:szCs w:val="24"/>
        </w:rPr>
        <w:t xml:space="preserve"> y </w:t>
      </w:r>
      <w:r w:rsidR="00CB14F3">
        <w:rPr>
          <w:rFonts w:ascii="Arial" w:hAnsi="Arial" w:cs="Arial"/>
          <w:sz w:val="24"/>
          <w:szCs w:val="24"/>
        </w:rPr>
        <w:t>febrero</w:t>
      </w:r>
      <w:r>
        <w:rPr>
          <w:rFonts w:ascii="Arial" w:hAnsi="Arial" w:cs="Arial"/>
          <w:sz w:val="24"/>
          <w:szCs w:val="24"/>
        </w:rPr>
        <w:t xml:space="preserve"> de 20</w:t>
      </w:r>
      <w:r w:rsidR="00A95C5D">
        <w:rPr>
          <w:rFonts w:ascii="Arial" w:hAnsi="Arial" w:cs="Arial"/>
          <w:sz w:val="24"/>
          <w:szCs w:val="24"/>
        </w:rPr>
        <w:t>2</w:t>
      </w:r>
      <w:r w:rsidR="002B7118">
        <w:rPr>
          <w:rFonts w:ascii="Arial" w:hAnsi="Arial" w:cs="Arial"/>
          <w:sz w:val="24"/>
          <w:szCs w:val="24"/>
        </w:rPr>
        <w:t>3</w:t>
      </w:r>
      <w:r>
        <w:rPr>
          <w:rFonts w:ascii="Arial" w:hAnsi="Arial" w:cs="Arial"/>
          <w:sz w:val="24"/>
          <w:szCs w:val="24"/>
        </w:rPr>
        <w:t xml:space="preserve">, con el objetivo de determinar el valor pronóstico de mortalidad a corto plazo del cociente urea/creatinina en pacientes con </w:t>
      </w:r>
      <w:r w:rsidR="002B7118">
        <w:rPr>
          <w:rFonts w:ascii="Arial" w:hAnsi="Arial" w:cs="Arial"/>
          <w:sz w:val="24"/>
          <w:szCs w:val="24"/>
        </w:rPr>
        <w:t>lesión</w:t>
      </w:r>
      <w:r>
        <w:rPr>
          <w:rFonts w:ascii="Arial" w:hAnsi="Arial" w:cs="Arial"/>
          <w:sz w:val="24"/>
          <w:szCs w:val="24"/>
        </w:rPr>
        <w:t xml:space="preserve"> renal aguda prer</w:t>
      </w:r>
      <w:r w:rsidR="00E30FF4">
        <w:rPr>
          <w:rFonts w:ascii="Arial" w:hAnsi="Arial" w:cs="Arial"/>
          <w:sz w:val="24"/>
          <w:szCs w:val="24"/>
        </w:rPr>
        <w:t>r</w:t>
      </w:r>
      <w:r>
        <w:rPr>
          <w:rFonts w:ascii="Arial" w:hAnsi="Arial" w:cs="Arial"/>
          <w:sz w:val="24"/>
          <w:szCs w:val="24"/>
        </w:rPr>
        <w:t>enal.</w:t>
      </w:r>
    </w:p>
    <w:p w:rsidR="00A37DBF" w:rsidRDefault="00A37DBF" w:rsidP="00A37DBF">
      <w:pPr>
        <w:spacing w:line="360" w:lineRule="auto"/>
        <w:jc w:val="both"/>
        <w:rPr>
          <w:rFonts w:ascii="Arial" w:hAnsi="Arial" w:cs="Arial"/>
          <w:sz w:val="24"/>
          <w:szCs w:val="24"/>
          <w:u w:val="single"/>
        </w:rPr>
      </w:pPr>
      <w:r w:rsidRPr="00B370E3">
        <w:rPr>
          <w:rFonts w:ascii="Arial" w:hAnsi="Arial" w:cs="Arial"/>
          <w:sz w:val="24"/>
          <w:szCs w:val="24"/>
          <w:u w:val="single"/>
        </w:rPr>
        <w:t>Universo y muestra:</w:t>
      </w:r>
    </w:p>
    <w:p w:rsidR="00A37DBF" w:rsidRDefault="00A37DBF" w:rsidP="00A37DBF">
      <w:pPr>
        <w:spacing w:line="360" w:lineRule="auto"/>
        <w:jc w:val="both"/>
        <w:rPr>
          <w:rFonts w:ascii="Arial" w:hAnsi="Arial" w:cs="Arial"/>
          <w:sz w:val="24"/>
          <w:szCs w:val="24"/>
        </w:rPr>
      </w:pPr>
      <w:r>
        <w:rPr>
          <w:rFonts w:ascii="Arial" w:hAnsi="Arial" w:cs="Arial"/>
          <w:sz w:val="24"/>
          <w:szCs w:val="24"/>
        </w:rPr>
        <w:t xml:space="preserve">El universo estuvo constituido por todos los pacientes diagnosticados con </w:t>
      </w:r>
      <w:r w:rsidR="002B7118">
        <w:rPr>
          <w:rFonts w:ascii="Arial" w:hAnsi="Arial" w:cs="Arial"/>
          <w:sz w:val="24"/>
          <w:szCs w:val="24"/>
        </w:rPr>
        <w:t>lesión</w:t>
      </w:r>
      <w:r>
        <w:rPr>
          <w:rFonts w:ascii="Arial" w:hAnsi="Arial" w:cs="Arial"/>
          <w:sz w:val="24"/>
          <w:szCs w:val="24"/>
        </w:rPr>
        <w:t xml:space="preserve"> renal aguda en la Unidad de Cuidados Intensivos del Hospital General Docente: “Dr. Ernesto Guevara de la Serna” durante el período de estudio (N=347). La muestra quedó constituida por todos los pacientes que cumplieron con los criterios de inclusión y exclusión (n=218).</w:t>
      </w:r>
    </w:p>
    <w:p w:rsidR="00A37DBF" w:rsidRPr="005A1F46" w:rsidRDefault="00A37DBF" w:rsidP="00A37DBF">
      <w:pPr>
        <w:spacing w:line="360" w:lineRule="auto"/>
        <w:jc w:val="both"/>
        <w:rPr>
          <w:rFonts w:ascii="Arial" w:hAnsi="Arial" w:cs="Arial"/>
          <w:sz w:val="24"/>
          <w:szCs w:val="24"/>
          <w:u w:val="single"/>
        </w:rPr>
      </w:pPr>
      <w:r w:rsidRPr="005A1F46">
        <w:rPr>
          <w:rFonts w:ascii="Arial" w:hAnsi="Arial" w:cs="Arial"/>
          <w:sz w:val="24"/>
          <w:szCs w:val="24"/>
          <w:u w:val="single"/>
        </w:rPr>
        <w:t xml:space="preserve">Criterios de inclusión: </w:t>
      </w:r>
    </w:p>
    <w:p w:rsidR="00A37DBF" w:rsidRDefault="00A37DBF" w:rsidP="00A37DBF">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Pacientes admitidos con </w:t>
      </w:r>
      <w:r w:rsidR="002B7118">
        <w:rPr>
          <w:rFonts w:ascii="Arial" w:hAnsi="Arial" w:cs="Arial"/>
          <w:sz w:val="24"/>
          <w:szCs w:val="24"/>
        </w:rPr>
        <w:t>lesión</w:t>
      </w:r>
      <w:r>
        <w:rPr>
          <w:rFonts w:ascii="Arial" w:hAnsi="Arial" w:cs="Arial"/>
          <w:sz w:val="24"/>
          <w:szCs w:val="24"/>
        </w:rPr>
        <w:t xml:space="preserve"> renal aguda prer</w:t>
      </w:r>
      <w:r w:rsidR="00E30FF4">
        <w:rPr>
          <w:rFonts w:ascii="Arial" w:hAnsi="Arial" w:cs="Arial"/>
          <w:sz w:val="24"/>
          <w:szCs w:val="24"/>
        </w:rPr>
        <w:t>r</w:t>
      </w:r>
      <w:r>
        <w:rPr>
          <w:rFonts w:ascii="Arial" w:hAnsi="Arial" w:cs="Arial"/>
          <w:sz w:val="24"/>
          <w:szCs w:val="24"/>
        </w:rPr>
        <w:t>enal en el período de estudio.</w:t>
      </w:r>
    </w:p>
    <w:p w:rsidR="00A37DBF" w:rsidRDefault="00A37DBF" w:rsidP="00A37DBF">
      <w:pPr>
        <w:pStyle w:val="Prrafodelista"/>
        <w:numPr>
          <w:ilvl w:val="0"/>
          <w:numId w:val="6"/>
        </w:numPr>
        <w:spacing w:line="360" w:lineRule="auto"/>
        <w:jc w:val="both"/>
        <w:rPr>
          <w:rFonts w:ascii="Arial" w:hAnsi="Arial" w:cs="Arial"/>
          <w:sz w:val="24"/>
          <w:szCs w:val="24"/>
        </w:rPr>
      </w:pPr>
      <w:r>
        <w:rPr>
          <w:rFonts w:ascii="Arial" w:hAnsi="Arial" w:cs="Arial"/>
          <w:sz w:val="24"/>
          <w:szCs w:val="24"/>
        </w:rPr>
        <w:t>Pacientes mayores de 18 años.</w:t>
      </w:r>
    </w:p>
    <w:p w:rsidR="00A37DBF" w:rsidRDefault="00A37DBF" w:rsidP="00A37DBF">
      <w:pPr>
        <w:pStyle w:val="Prrafodelista"/>
        <w:numPr>
          <w:ilvl w:val="0"/>
          <w:numId w:val="6"/>
        </w:numPr>
        <w:spacing w:line="360" w:lineRule="auto"/>
        <w:jc w:val="both"/>
        <w:rPr>
          <w:rFonts w:ascii="Arial" w:hAnsi="Arial" w:cs="Arial"/>
          <w:sz w:val="24"/>
          <w:szCs w:val="24"/>
        </w:rPr>
      </w:pPr>
      <w:r>
        <w:rPr>
          <w:rFonts w:ascii="Arial" w:hAnsi="Arial" w:cs="Arial"/>
          <w:sz w:val="24"/>
          <w:szCs w:val="24"/>
        </w:rPr>
        <w:t>Consentimiento informado de participación en el estudio. (Ver anexo #1)</w:t>
      </w:r>
    </w:p>
    <w:p w:rsidR="00A37DBF" w:rsidRDefault="00A37DBF" w:rsidP="00A37DBF">
      <w:pPr>
        <w:spacing w:line="360" w:lineRule="auto"/>
        <w:jc w:val="both"/>
        <w:rPr>
          <w:rFonts w:ascii="Arial" w:hAnsi="Arial" w:cs="Arial"/>
          <w:sz w:val="24"/>
          <w:szCs w:val="24"/>
          <w:u w:val="single"/>
        </w:rPr>
      </w:pPr>
      <w:r w:rsidRPr="005A1F46">
        <w:rPr>
          <w:rFonts w:ascii="Arial" w:hAnsi="Arial" w:cs="Arial"/>
          <w:sz w:val="24"/>
          <w:szCs w:val="24"/>
          <w:u w:val="single"/>
        </w:rPr>
        <w:t>Criterios de exclusión:</w:t>
      </w:r>
    </w:p>
    <w:p w:rsidR="00A37DBF" w:rsidRDefault="00A37DBF" w:rsidP="00A37DBF">
      <w:pPr>
        <w:pStyle w:val="Prrafodelista"/>
        <w:numPr>
          <w:ilvl w:val="0"/>
          <w:numId w:val="7"/>
        </w:numPr>
        <w:spacing w:line="360" w:lineRule="auto"/>
        <w:jc w:val="both"/>
        <w:rPr>
          <w:rFonts w:ascii="Arial" w:hAnsi="Arial" w:cs="Arial"/>
          <w:sz w:val="24"/>
          <w:szCs w:val="24"/>
        </w:rPr>
      </w:pPr>
      <w:r>
        <w:rPr>
          <w:rFonts w:ascii="Arial" w:hAnsi="Arial" w:cs="Arial"/>
          <w:sz w:val="24"/>
          <w:szCs w:val="24"/>
        </w:rPr>
        <w:t>Historias clínicas con información incompleta para el estudio.</w:t>
      </w:r>
    </w:p>
    <w:p w:rsidR="00A37DBF" w:rsidRDefault="00A37DBF" w:rsidP="00A37DBF">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Pacientes en los cuales no se conoció la ocurrencia o no del </w:t>
      </w:r>
      <w:r w:rsidRPr="005A1F46">
        <w:rPr>
          <w:rFonts w:ascii="Arial" w:hAnsi="Arial" w:cs="Arial"/>
          <w:b/>
          <w:sz w:val="24"/>
          <w:szCs w:val="24"/>
        </w:rPr>
        <w:t>evento</w:t>
      </w:r>
      <w:r>
        <w:rPr>
          <w:rFonts w:ascii="Arial" w:hAnsi="Arial" w:cs="Arial"/>
          <w:sz w:val="24"/>
          <w:szCs w:val="24"/>
        </w:rPr>
        <w:t xml:space="preserve"> al finalizar el estudio.</w:t>
      </w:r>
    </w:p>
    <w:p w:rsidR="00A37DBF" w:rsidRPr="00A37DBF" w:rsidRDefault="00A37DBF" w:rsidP="00A37DBF">
      <w:pPr>
        <w:spacing w:line="360" w:lineRule="auto"/>
        <w:jc w:val="both"/>
        <w:rPr>
          <w:rFonts w:ascii="Arial" w:hAnsi="Arial" w:cs="Arial"/>
          <w:sz w:val="24"/>
          <w:szCs w:val="24"/>
        </w:rPr>
      </w:pPr>
      <w:r w:rsidRPr="005A1F46">
        <w:rPr>
          <w:rFonts w:ascii="Arial" w:hAnsi="Arial" w:cs="Arial"/>
          <w:b/>
          <w:sz w:val="24"/>
          <w:szCs w:val="24"/>
        </w:rPr>
        <w:t>Definición del evento:</w:t>
      </w:r>
      <w:r>
        <w:rPr>
          <w:rFonts w:ascii="Arial" w:hAnsi="Arial" w:cs="Arial"/>
          <w:b/>
          <w:sz w:val="24"/>
          <w:szCs w:val="24"/>
        </w:rPr>
        <w:t xml:space="preserve"> </w:t>
      </w:r>
      <w:r>
        <w:rPr>
          <w:rFonts w:ascii="Arial" w:hAnsi="Arial" w:cs="Arial"/>
          <w:sz w:val="24"/>
          <w:szCs w:val="24"/>
        </w:rPr>
        <w:t xml:space="preserve">Se definió como variable dependiente a la muerte por todas las causas de los pacientes diagnosticados con </w:t>
      </w:r>
      <w:r w:rsidR="002B7118">
        <w:rPr>
          <w:rFonts w:ascii="Arial" w:hAnsi="Arial" w:cs="Arial"/>
          <w:sz w:val="24"/>
          <w:szCs w:val="24"/>
        </w:rPr>
        <w:t>lesión</w:t>
      </w:r>
      <w:r>
        <w:rPr>
          <w:rFonts w:ascii="Arial" w:hAnsi="Arial" w:cs="Arial"/>
          <w:sz w:val="24"/>
          <w:szCs w:val="24"/>
        </w:rPr>
        <w:t xml:space="preserve"> renal aguda prer</w:t>
      </w:r>
      <w:r w:rsidR="00E30FF4">
        <w:rPr>
          <w:rFonts w:ascii="Arial" w:hAnsi="Arial" w:cs="Arial"/>
          <w:sz w:val="24"/>
          <w:szCs w:val="24"/>
        </w:rPr>
        <w:t>r</w:t>
      </w:r>
      <w:r>
        <w:rPr>
          <w:rFonts w:ascii="Arial" w:hAnsi="Arial" w:cs="Arial"/>
          <w:sz w:val="24"/>
          <w:szCs w:val="24"/>
        </w:rPr>
        <w:t xml:space="preserve">enal </w:t>
      </w:r>
      <w:r>
        <w:rPr>
          <w:rFonts w:ascii="Arial" w:hAnsi="Arial" w:cs="Arial"/>
          <w:sz w:val="24"/>
          <w:szCs w:val="24"/>
        </w:rPr>
        <w:lastRenderedPageBreak/>
        <w:t>durante el período 20</w:t>
      </w:r>
      <w:r w:rsidR="002B7118">
        <w:rPr>
          <w:rFonts w:ascii="Arial" w:hAnsi="Arial" w:cs="Arial"/>
          <w:sz w:val="24"/>
          <w:szCs w:val="24"/>
        </w:rPr>
        <w:t>21</w:t>
      </w:r>
      <w:r>
        <w:rPr>
          <w:rFonts w:ascii="Arial" w:hAnsi="Arial" w:cs="Arial"/>
          <w:sz w:val="24"/>
          <w:szCs w:val="24"/>
        </w:rPr>
        <w:t>-20</w:t>
      </w:r>
      <w:r w:rsidR="00A95C5D">
        <w:rPr>
          <w:rFonts w:ascii="Arial" w:hAnsi="Arial" w:cs="Arial"/>
          <w:sz w:val="24"/>
          <w:szCs w:val="24"/>
        </w:rPr>
        <w:t>2</w:t>
      </w:r>
      <w:r w:rsidR="002B7118">
        <w:rPr>
          <w:rFonts w:ascii="Arial" w:hAnsi="Arial" w:cs="Arial"/>
          <w:sz w:val="24"/>
          <w:szCs w:val="24"/>
        </w:rPr>
        <w:t>3</w:t>
      </w:r>
      <w:r>
        <w:rPr>
          <w:rFonts w:ascii="Arial" w:hAnsi="Arial" w:cs="Arial"/>
          <w:sz w:val="24"/>
          <w:szCs w:val="24"/>
        </w:rPr>
        <w:t>. Esta información se obtuvo de la base de datos del Servicio de Nefrología.</w:t>
      </w:r>
    </w:p>
    <w:p w:rsidR="00A37DBF" w:rsidRDefault="00A37DBF" w:rsidP="00A37DBF">
      <w:pPr>
        <w:spacing w:line="360" w:lineRule="auto"/>
        <w:jc w:val="both"/>
        <w:rPr>
          <w:rFonts w:ascii="Arial" w:hAnsi="Arial" w:cs="Arial"/>
          <w:b/>
          <w:sz w:val="24"/>
          <w:szCs w:val="24"/>
          <w:u w:val="single"/>
        </w:rPr>
      </w:pPr>
      <w:r w:rsidRPr="008A231E">
        <w:rPr>
          <w:rFonts w:ascii="Arial" w:hAnsi="Arial" w:cs="Arial"/>
          <w:b/>
          <w:sz w:val="24"/>
          <w:szCs w:val="24"/>
          <w:u w:val="single"/>
        </w:rPr>
        <w:t>Variables y su Operacionalización:</w:t>
      </w:r>
    </w:p>
    <w:tbl>
      <w:tblPr>
        <w:tblStyle w:val="Tablaconcuadrcula"/>
        <w:tblW w:w="11341" w:type="dxa"/>
        <w:tblInd w:w="-1168" w:type="dxa"/>
        <w:tblLayout w:type="fixed"/>
        <w:tblLook w:val="04A0"/>
      </w:tblPr>
      <w:tblGrid>
        <w:gridCol w:w="2263"/>
        <w:gridCol w:w="140"/>
        <w:gridCol w:w="24"/>
        <w:gridCol w:w="2098"/>
        <w:gridCol w:w="292"/>
        <w:gridCol w:w="1848"/>
        <w:gridCol w:w="138"/>
        <w:gridCol w:w="141"/>
        <w:gridCol w:w="130"/>
        <w:gridCol w:w="2566"/>
        <w:gridCol w:w="124"/>
        <w:gridCol w:w="1577"/>
      </w:tblGrid>
      <w:tr w:rsidR="00A37DBF" w:rsidTr="004D272A">
        <w:trPr>
          <w:trHeight w:val="229"/>
        </w:trPr>
        <w:tc>
          <w:tcPr>
            <w:tcW w:w="2264" w:type="dxa"/>
            <w:vMerge w:val="restart"/>
            <w:tcBorders>
              <w:lef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Variable</w:t>
            </w:r>
          </w:p>
        </w:tc>
        <w:tc>
          <w:tcPr>
            <w:tcW w:w="2263" w:type="dxa"/>
            <w:gridSpan w:val="3"/>
            <w:vMerge w:val="restart"/>
          </w:tcPr>
          <w:p w:rsidR="00A37DBF" w:rsidRDefault="00A37DBF" w:rsidP="004D272A">
            <w:pPr>
              <w:spacing w:line="360" w:lineRule="auto"/>
              <w:jc w:val="both"/>
              <w:rPr>
                <w:rFonts w:ascii="Arial" w:hAnsi="Arial" w:cs="Arial"/>
                <w:sz w:val="24"/>
                <w:szCs w:val="24"/>
              </w:rPr>
            </w:pPr>
            <w:r>
              <w:rPr>
                <w:rFonts w:ascii="Arial" w:hAnsi="Arial" w:cs="Arial"/>
                <w:sz w:val="24"/>
                <w:szCs w:val="24"/>
              </w:rPr>
              <w:t>Clasificación</w:t>
            </w:r>
          </w:p>
        </w:tc>
        <w:tc>
          <w:tcPr>
            <w:tcW w:w="5239" w:type="dxa"/>
            <w:gridSpan w:val="7"/>
            <w:tcBorders>
              <w:bottom w:val="single" w:sz="4" w:space="0" w:color="auto"/>
            </w:tcBorders>
          </w:tcPr>
          <w:p w:rsidR="00A37DBF" w:rsidRPr="00C522F7" w:rsidRDefault="00A37DBF" w:rsidP="004D272A">
            <w:pPr>
              <w:spacing w:line="360" w:lineRule="auto"/>
              <w:jc w:val="both"/>
              <w:rPr>
                <w:rFonts w:ascii="Arial" w:hAnsi="Arial" w:cs="Arial"/>
                <w:b/>
                <w:sz w:val="24"/>
                <w:szCs w:val="24"/>
              </w:rPr>
            </w:pPr>
            <w:r w:rsidRPr="00C522F7">
              <w:rPr>
                <w:rFonts w:ascii="Arial" w:hAnsi="Arial" w:cs="Arial"/>
                <w:b/>
                <w:sz w:val="24"/>
                <w:szCs w:val="24"/>
              </w:rPr>
              <w:t>Operacionalización</w:t>
            </w:r>
          </w:p>
        </w:tc>
        <w:tc>
          <w:tcPr>
            <w:tcW w:w="1575" w:type="dxa"/>
            <w:vMerge w:val="restart"/>
          </w:tcPr>
          <w:p w:rsidR="00A37DBF" w:rsidRDefault="00A37DBF" w:rsidP="004D272A">
            <w:pPr>
              <w:spacing w:line="360" w:lineRule="auto"/>
              <w:jc w:val="both"/>
              <w:rPr>
                <w:rFonts w:ascii="Arial" w:hAnsi="Arial" w:cs="Arial"/>
                <w:sz w:val="24"/>
                <w:szCs w:val="24"/>
              </w:rPr>
            </w:pPr>
            <w:r>
              <w:rPr>
                <w:rFonts w:ascii="Arial" w:hAnsi="Arial" w:cs="Arial"/>
                <w:sz w:val="24"/>
                <w:szCs w:val="24"/>
              </w:rPr>
              <w:t xml:space="preserve">     Indicador</w:t>
            </w:r>
          </w:p>
        </w:tc>
      </w:tr>
      <w:tr w:rsidR="00A37DBF" w:rsidTr="004D272A">
        <w:trPr>
          <w:trHeight w:val="169"/>
        </w:trPr>
        <w:tc>
          <w:tcPr>
            <w:tcW w:w="2264" w:type="dxa"/>
            <w:vMerge/>
            <w:tcBorders>
              <w:left w:val="single" w:sz="4" w:space="0" w:color="auto"/>
            </w:tcBorders>
          </w:tcPr>
          <w:p w:rsidR="00A37DBF" w:rsidRDefault="00A37DBF" w:rsidP="004D272A">
            <w:pPr>
              <w:spacing w:line="360" w:lineRule="auto"/>
              <w:jc w:val="both"/>
              <w:rPr>
                <w:rFonts w:ascii="Arial" w:hAnsi="Arial" w:cs="Arial"/>
                <w:sz w:val="24"/>
                <w:szCs w:val="24"/>
              </w:rPr>
            </w:pPr>
          </w:p>
        </w:tc>
        <w:tc>
          <w:tcPr>
            <w:tcW w:w="2263" w:type="dxa"/>
            <w:gridSpan w:val="3"/>
            <w:vMerge/>
          </w:tcPr>
          <w:p w:rsidR="00A37DBF" w:rsidRDefault="00A37DBF" w:rsidP="004D272A">
            <w:pPr>
              <w:spacing w:line="360" w:lineRule="auto"/>
              <w:jc w:val="both"/>
              <w:rPr>
                <w:rFonts w:ascii="Arial" w:hAnsi="Arial" w:cs="Arial"/>
                <w:sz w:val="24"/>
                <w:szCs w:val="24"/>
              </w:rPr>
            </w:pPr>
          </w:p>
        </w:tc>
        <w:tc>
          <w:tcPr>
            <w:tcW w:w="2549" w:type="dxa"/>
            <w:gridSpan w:val="5"/>
            <w:tcBorders>
              <w:top w:val="single" w:sz="4" w:space="0" w:color="auto"/>
              <w:right w:val="single" w:sz="4" w:space="0" w:color="auto"/>
            </w:tcBorders>
          </w:tcPr>
          <w:p w:rsidR="00A37DBF" w:rsidRPr="00C522F7" w:rsidRDefault="00A37DBF" w:rsidP="004D272A">
            <w:pPr>
              <w:spacing w:line="360" w:lineRule="auto"/>
              <w:jc w:val="both"/>
              <w:rPr>
                <w:rFonts w:ascii="Arial" w:hAnsi="Arial" w:cs="Arial"/>
                <w:sz w:val="24"/>
                <w:szCs w:val="24"/>
              </w:rPr>
            </w:pPr>
            <w:r>
              <w:rPr>
                <w:rFonts w:ascii="Arial" w:hAnsi="Arial" w:cs="Arial"/>
                <w:sz w:val="24"/>
                <w:szCs w:val="24"/>
              </w:rPr>
              <w:t xml:space="preserve">    Escala </w:t>
            </w:r>
          </w:p>
        </w:tc>
        <w:tc>
          <w:tcPr>
            <w:tcW w:w="2690" w:type="dxa"/>
            <w:gridSpan w:val="2"/>
            <w:tcBorders>
              <w:top w:val="single" w:sz="4" w:space="0" w:color="auto"/>
              <w:lef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Descripción</w:t>
            </w:r>
          </w:p>
        </w:tc>
        <w:tc>
          <w:tcPr>
            <w:tcW w:w="1575" w:type="dxa"/>
            <w:vMerge/>
          </w:tcPr>
          <w:p w:rsidR="00A37DBF" w:rsidRDefault="00A37DBF" w:rsidP="004D272A">
            <w:pPr>
              <w:spacing w:line="360" w:lineRule="auto"/>
              <w:jc w:val="both"/>
              <w:rPr>
                <w:rFonts w:ascii="Arial" w:hAnsi="Arial" w:cs="Arial"/>
                <w:sz w:val="24"/>
                <w:szCs w:val="24"/>
              </w:rPr>
            </w:pPr>
          </w:p>
        </w:tc>
      </w:tr>
      <w:tr w:rsidR="00A37DBF" w:rsidTr="004D272A">
        <w:tc>
          <w:tcPr>
            <w:tcW w:w="11341" w:type="dxa"/>
            <w:gridSpan w:val="12"/>
          </w:tcPr>
          <w:p w:rsidR="00A37DBF" w:rsidRPr="00D76050" w:rsidRDefault="00A37DBF" w:rsidP="004D272A">
            <w:pPr>
              <w:spacing w:line="360" w:lineRule="auto"/>
              <w:jc w:val="both"/>
              <w:rPr>
                <w:rFonts w:ascii="Arial" w:hAnsi="Arial" w:cs="Arial"/>
                <w:b/>
                <w:sz w:val="24"/>
                <w:szCs w:val="24"/>
              </w:rPr>
            </w:pPr>
            <w:r w:rsidRPr="00D76050">
              <w:rPr>
                <w:rFonts w:ascii="Arial" w:hAnsi="Arial" w:cs="Arial"/>
                <w:b/>
                <w:sz w:val="24"/>
                <w:szCs w:val="24"/>
              </w:rPr>
              <w:t>Variables epidemiológicas</w:t>
            </w:r>
          </w:p>
        </w:tc>
      </w:tr>
      <w:tr w:rsidR="00A37DBF" w:rsidTr="00CB14F3">
        <w:tc>
          <w:tcPr>
            <w:tcW w:w="2264" w:type="dxa"/>
          </w:tcPr>
          <w:p w:rsidR="00A37DBF" w:rsidRDefault="00A37DBF" w:rsidP="004D272A">
            <w:pPr>
              <w:spacing w:line="360" w:lineRule="auto"/>
              <w:jc w:val="both"/>
              <w:rPr>
                <w:rFonts w:ascii="Arial" w:hAnsi="Arial" w:cs="Arial"/>
                <w:sz w:val="24"/>
                <w:szCs w:val="24"/>
              </w:rPr>
            </w:pPr>
            <w:r>
              <w:rPr>
                <w:rFonts w:ascii="Arial" w:hAnsi="Arial" w:cs="Arial"/>
                <w:sz w:val="24"/>
                <w:szCs w:val="24"/>
              </w:rPr>
              <w:t>Edad</w:t>
            </w:r>
          </w:p>
        </w:tc>
        <w:tc>
          <w:tcPr>
            <w:tcW w:w="2263" w:type="dxa"/>
            <w:gridSpan w:val="3"/>
          </w:tcPr>
          <w:p w:rsidR="00A37DBF" w:rsidRDefault="00A37DBF" w:rsidP="004D272A">
            <w:pPr>
              <w:spacing w:line="360" w:lineRule="auto"/>
              <w:jc w:val="both"/>
              <w:rPr>
                <w:rFonts w:ascii="Arial" w:hAnsi="Arial" w:cs="Arial"/>
                <w:sz w:val="24"/>
                <w:szCs w:val="24"/>
              </w:rPr>
            </w:pPr>
            <w:r>
              <w:rPr>
                <w:rFonts w:ascii="Arial" w:hAnsi="Arial" w:cs="Arial"/>
                <w:sz w:val="24"/>
                <w:szCs w:val="24"/>
              </w:rPr>
              <w:t>Cuantitativa discreta</w:t>
            </w:r>
          </w:p>
        </w:tc>
        <w:tc>
          <w:tcPr>
            <w:tcW w:w="2419" w:type="dxa"/>
            <w:gridSpan w:val="4"/>
            <w:tcBorders>
              <w:right w:val="single" w:sz="4" w:space="0" w:color="auto"/>
            </w:tcBorders>
          </w:tcPr>
          <w:p w:rsidR="00A37DBF" w:rsidRDefault="00A37DBF" w:rsidP="004D272A">
            <w:pPr>
              <w:pStyle w:val="Prrafodelista"/>
              <w:numPr>
                <w:ilvl w:val="0"/>
                <w:numId w:val="1"/>
              </w:numPr>
              <w:spacing w:line="360" w:lineRule="auto"/>
              <w:jc w:val="both"/>
              <w:rPr>
                <w:rFonts w:ascii="Arial" w:hAnsi="Arial" w:cs="Arial"/>
                <w:sz w:val="24"/>
                <w:szCs w:val="24"/>
              </w:rPr>
            </w:pPr>
            <w:r>
              <w:rPr>
                <w:rFonts w:ascii="Arial" w:hAnsi="Arial" w:cs="Arial"/>
                <w:sz w:val="24"/>
                <w:szCs w:val="24"/>
              </w:rPr>
              <w:t>Menor de 60 años</w:t>
            </w:r>
          </w:p>
          <w:p w:rsidR="00A37DBF" w:rsidRPr="00D76050" w:rsidRDefault="00A37DBF" w:rsidP="004D272A">
            <w:pPr>
              <w:pStyle w:val="Prrafodelista"/>
              <w:numPr>
                <w:ilvl w:val="0"/>
                <w:numId w:val="1"/>
              </w:numPr>
              <w:spacing w:line="360" w:lineRule="auto"/>
              <w:jc w:val="both"/>
              <w:rPr>
                <w:rFonts w:ascii="Arial" w:hAnsi="Arial" w:cs="Arial"/>
                <w:sz w:val="24"/>
                <w:szCs w:val="24"/>
              </w:rPr>
            </w:pPr>
            <w:r>
              <w:rPr>
                <w:rFonts w:ascii="Arial" w:hAnsi="Arial" w:cs="Arial"/>
                <w:sz w:val="24"/>
                <w:szCs w:val="24"/>
              </w:rPr>
              <w:t>Igual o mayor de 60 años</w:t>
            </w:r>
          </w:p>
        </w:tc>
        <w:tc>
          <w:tcPr>
            <w:tcW w:w="2694"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Edad en años cumplidos al momento de la investigación según la fecha de nacimiento</w:t>
            </w:r>
          </w:p>
        </w:tc>
        <w:tc>
          <w:tcPr>
            <w:tcW w:w="1701" w:type="dxa"/>
            <w:gridSpan w:val="2"/>
          </w:tcPr>
          <w:p w:rsidR="00A37DBF" w:rsidRDefault="00A37DBF" w:rsidP="00CB14F3">
            <w:pPr>
              <w:spacing w:line="360" w:lineRule="auto"/>
              <w:jc w:val="both"/>
              <w:rPr>
                <w:rFonts w:ascii="Arial" w:hAnsi="Arial" w:cs="Arial"/>
                <w:sz w:val="24"/>
                <w:szCs w:val="24"/>
              </w:rPr>
            </w:pPr>
            <w:r>
              <w:rPr>
                <w:rFonts w:ascii="Arial" w:hAnsi="Arial" w:cs="Arial"/>
                <w:sz w:val="24"/>
                <w:szCs w:val="24"/>
              </w:rPr>
              <w:t>Frecuencia absoluta y relativa, Media</w:t>
            </w:r>
            <w:r w:rsidR="00CB14F3">
              <w:rPr>
                <w:rFonts w:ascii="Arial" w:hAnsi="Arial" w:cs="Arial"/>
                <w:sz w:val="24"/>
                <w:szCs w:val="24"/>
              </w:rPr>
              <w:t>na</w:t>
            </w:r>
            <w:r>
              <w:rPr>
                <w:rFonts w:ascii="Arial" w:hAnsi="Arial" w:cs="Arial"/>
                <w:sz w:val="24"/>
                <w:szCs w:val="24"/>
              </w:rPr>
              <w:t xml:space="preserve"> y </w:t>
            </w:r>
            <w:r w:rsidR="00CB14F3">
              <w:rPr>
                <w:rFonts w:ascii="Arial" w:hAnsi="Arial" w:cs="Arial"/>
                <w:sz w:val="24"/>
                <w:szCs w:val="24"/>
              </w:rPr>
              <w:t>rango intercuartílico</w:t>
            </w:r>
            <w:r>
              <w:rPr>
                <w:rFonts w:ascii="Arial" w:hAnsi="Arial" w:cs="Arial"/>
                <w:sz w:val="24"/>
                <w:szCs w:val="24"/>
              </w:rPr>
              <w:t xml:space="preserve"> </w:t>
            </w:r>
          </w:p>
        </w:tc>
      </w:tr>
      <w:tr w:rsidR="00A37DBF" w:rsidTr="00CB14F3">
        <w:tc>
          <w:tcPr>
            <w:tcW w:w="2264" w:type="dxa"/>
          </w:tcPr>
          <w:p w:rsidR="00A37DBF" w:rsidRDefault="00A37DBF" w:rsidP="004D272A">
            <w:pPr>
              <w:spacing w:line="360" w:lineRule="auto"/>
              <w:jc w:val="both"/>
              <w:rPr>
                <w:rFonts w:ascii="Arial" w:hAnsi="Arial" w:cs="Arial"/>
                <w:sz w:val="24"/>
                <w:szCs w:val="24"/>
              </w:rPr>
            </w:pPr>
            <w:r>
              <w:rPr>
                <w:rFonts w:ascii="Arial" w:hAnsi="Arial" w:cs="Arial"/>
                <w:sz w:val="24"/>
                <w:szCs w:val="24"/>
              </w:rPr>
              <w:t xml:space="preserve">Sexo </w:t>
            </w:r>
          </w:p>
        </w:tc>
        <w:tc>
          <w:tcPr>
            <w:tcW w:w="2263" w:type="dxa"/>
            <w:gridSpan w:val="3"/>
          </w:tcPr>
          <w:p w:rsidR="00A37DBF" w:rsidRPr="002346C8" w:rsidRDefault="00A37DBF" w:rsidP="004D272A">
            <w:pPr>
              <w:spacing w:line="360" w:lineRule="auto"/>
              <w:jc w:val="both"/>
              <w:rPr>
                <w:rFonts w:ascii="Arial" w:hAnsi="Arial" w:cs="Arial"/>
                <w:sz w:val="24"/>
                <w:szCs w:val="24"/>
              </w:rPr>
            </w:pPr>
            <w:r>
              <w:rPr>
                <w:rFonts w:ascii="Arial" w:hAnsi="Arial" w:cs="Arial"/>
                <w:sz w:val="24"/>
                <w:szCs w:val="24"/>
              </w:rPr>
              <w:t>Cualitativa n</w:t>
            </w:r>
            <w:r w:rsidRPr="002346C8">
              <w:rPr>
                <w:rFonts w:ascii="Arial" w:hAnsi="Arial" w:cs="Arial"/>
                <w:sz w:val="24"/>
                <w:szCs w:val="24"/>
              </w:rPr>
              <w:t xml:space="preserve">ominal </w:t>
            </w:r>
          </w:p>
          <w:p w:rsidR="00A37DBF" w:rsidRDefault="00A37DBF" w:rsidP="004D272A">
            <w:pPr>
              <w:spacing w:line="360" w:lineRule="auto"/>
              <w:jc w:val="both"/>
              <w:rPr>
                <w:rFonts w:ascii="Arial" w:hAnsi="Arial" w:cs="Arial"/>
                <w:sz w:val="24"/>
                <w:szCs w:val="24"/>
              </w:rPr>
            </w:pPr>
            <w:r w:rsidRPr="002346C8">
              <w:rPr>
                <w:rFonts w:ascii="Arial" w:hAnsi="Arial" w:cs="Arial"/>
                <w:sz w:val="24"/>
                <w:szCs w:val="24"/>
              </w:rPr>
              <w:t>dicotómica</w:t>
            </w:r>
          </w:p>
        </w:tc>
        <w:tc>
          <w:tcPr>
            <w:tcW w:w="2419" w:type="dxa"/>
            <w:gridSpan w:val="4"/>
            <w:tcBorders>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 xml:space="preserve">-Masculino </w:t>
            </w:r>
          </w:p>
          <w:p w:rsidR="00A37DBF" w:rsidRDefault="00A37DBF" w:rsidP="004D272A">
            <w:pPr>
              <w:spacing w:line="360" w:lineRule="auto"/>
              <w:jc w:val="both"/>
              <w:rPr>
                <w:rFonts w:ascii="Arial" w:hAnsi="Arial" w:cs="Arial"/>
                <w:sz w:val="24"/>
                <w:szCs w:val="24"/>
              </w:rPr>
            </w:pPr>
            <w:r>
              <w:rPr>
                <w:rFonts w:ascii="Arial" w:hAnsi="Arial" w:cs="Arial"/>
                <w:sz w:val="24"/>
                <w:szCs w:val="24"/>
              </w:rPr>
              <w:t>-</w:t>
            </w:r>
            <w:r w:rsidRPr="002346C8">
              <w:rPr>
                <w:rFonts w:ascii="Arial" w:hAnsi="Arial" w:cs="Arial"/>
                <w:sz w:val="24"/>
                <w:szCs w:val="24"/>
              </w:rPr>
              <w:t>Femenino</w:t>
            </w:r>
          </w:p>
        </w:tc>
        <w:tc>
          <w:tcPr>
            <w:tcW w:w="2694"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sidRPr="002346C8">
              <w:rPr>
                <w:rFonts w:ascii="Arial" w:hAnsi="Arial" w:cs="Arial"/>
                <w:sz w:val="24"/>
                <w:szCs w:val="24"/>
              </w:rPr>
              <w:t>Según sexo biológico.</w:t>
            </w:r>
          </w:p>
        </w:tc>
        <w:tc>
          <w:tcPr>
            <w:tcW w:w="1701" w:type="dxa"/>
            <w:gridSpan w:val="2"/>
          </w:tcPr>
          <w:p w:rsidR="00A37DBF" w:rsidRDefault="00A37DBF" w:rsidP="004D272A">
            <w:pPr>
              <w:spacing w:line="360" w:lineRule="auto"/>
              <w:jc w:val="both"/>
              <w:rPr>
                <w:rFonts w:ascii="Arial" w:hAnsi="Arial" w:cs="Arial"/>
                <w:sz w:val="24"/>
                <w:szCs w:val="24"/>
              </w:rPr>
            </w:pPr>
            <w:r>
              <w:rPr>
                <w:rFonts w:ascii="Arial" w:hAnsi="Arial" w:cs="Arial"/>
                <w:sz w:val="24"/>
                <w:szCs w:val="24"/>
              </w:rPr>
              <w:t>Frecuencia absoluta y relativa</w:t>
            </w:r>
          </w:p>
        </w:tc>
      </w:tr>
      <w:tr w:rsidR="00A37DBF" w:rsidTr="004D272A">
        <w:tc>
          <w:tcPr>
            <w:tcW w:w="11341" w:type="dxa"/>
            <w:gridSpan w:val="12"/>
          </w:tcPr>
          <w:p w:rsidR="00A37DBF" w:rsidRPr="004E778F" w:rsidRDefault="00A37DBF" w:rsidP="004D272A">
            <w:pPr>
              <w:spacing w:line="360" w:lineRule="auto"/>
              <w:jc w:val="both"/>
              <w:rPr>
                <w:rFonts w:ascii="Arial" w:hAnsi="Arial" w:cs="Arial"/>
                <w:b/>
                <w:sz w:val="24"/>
                <w:szCs w:val="24"/>
              </w:rPr>
            </w:pPr>
            <w:r w:rsidRPr="004E778F">
              <w:rPr>
                <w:rFonts w:ascii="Arial" w:hAnsi="Arial" w:cs="Arial"/>
                <w:b/>
                <w:sz w:val="24"/>
                <w:szCs w:val="24"/>
              </w:rPr>
              <w:t>Antecedentes patológicos personales</w:t>
            </w:r>
          </w:p>
        </w:tc>
      </w:tr>
      <w:tr w:rsidR="00A37DBF" w:rsidTr="004D272A">
        <w:tc>
          <w:tcPr>
            <w:tcW w:w="2264" w:type="dxa"/>
          </w:tcPr>
          <w:p w:rsidR="00A37DBF" w:rsidRDefault="00A37DBF" w:rsidP="004D272A">
            <w:pPr>
              <w:spacing w:line="360" w:lineRule="auto"/>
              <w:jc w:val="both"/>
              <w:rPr>
                <w:rFonts w:ascii="Arial" w:hAnsi="Arial" w:cs="Arial"/>
                <w:sz w:val="24"/>
                <w:szCs w:val="24"/>
              </w:rPr>
            </w:pPr>
            <w:r>
              <w:rPr>
                <w:rFonts w:ascii="Arial" w:hAnsi="Arial" w:cs="Arial"/>
                <w:sz w:val="24"/>
                <w:szCs w:val="24"/>
              </w:rPr>
              <w:t>Hipertensión Arterial</w:t>
            </w:r>
          </w:p>
        </w:tc>
        <w:tc>
          <w:tcPr>
            <w:tcW w:w="2263" w:type="dxa"/>
            <w:gridSpan w:val="3"/>
          </w:tcPr>
          <w:p w:rsidR="00A37DBF" w:rsidRDefault="00A37DBF" w:rsidP="004D272A">
            <w:pPr>
              <w:spacing w:line="360" w:lineRule="auto"/>
              <w:jc w:val="both"/>
              <w:rPr>
                <w:rFonts w:ascii="Arial" w:hAnsi="Arial" w:cs="Arial"/>
                <w:sz w:val="24"/>
                <w:szCs w:val="24"/>
              </w:rPr>
            </w:pPr>
            <w:r>
              <w:rPr>
                <w:rFonts w:ascii="Arial" w:hAnsi="Arial" w:cs="Arial"/>
                <w:sz w:val="24"/>
                <w:szCs w:val="24"/>
              </w:rPr>
              <w:t>Cualitativa nominal dicotómica</w:t>
            </w:r>
          </w:p>
        </w:tc>
        <w:tc>
          <w:tcPr>
            <w:tcW w:w="2549" w:type="dxa"/>
            <w:gridSpan w:val="5"/>
            <w:tcBorders>
              <w:right w:val="single" w:sz="4" w:space="0" w:color="auto"/>
            </w:tcBorders>
          </w:tcPr>
          <w:p w:rsidR="00A37DBF" w:rsidRDefault="00A37DBF" w:rsidP="004D272A">
            <w:pPr>
              <w:pStyle w:val="Prrafodelista"/>
              <w:numPr>
                <w:ilvl w:val="0"/>
                <w:numId w:val="2"/>
              </w:numPr>
              <w:spacing w:line="360" w:lineRule="auto"/>
              <w:jc w:val="both"/>
              <w:rPr>
                <w:rFonts w:ascii="Arial" w:hAnsi="Arial" w:cs="Arial"/>
                <w:sz w:val="24"/>
                <w:szCs w:val="24"/>
              </w:rPr>
            </w:pPr>
            <w:r>
              <w:rPr>
                <w:rFonts w:ascii="Arial" w:hAnsi="Arial" w:cs="Arial"/>
                <w:sz w:val="24"/>
                <w:szCs w:val="24"/>
              </w:rPr>
              <w:t>Sí</w:t>
            </w:r>
          </w:p>
          <w:p w:rsidR="00A37DBF" w:rsidRPr="004E778F" w:rsidRDefault="00A37DBF" w:rsidP="004D272A">
            <w:pPr>
              <w:pStyle w:val="Prrafodelista"/>
              <w:numPr>
                <w:ilvl w:val="0"/>
                <w:numId w:val="2"/>
              </w:numPr>
              <w:spacing w:line="360" w:lineRule="auto"/>
              <w:jc w:val="both"/>
              <w:rPr>
                <w:rFonts w:ascii="Arial" w:hAnsi="Arial" w:cs="Arial"/>
                <w:sz w:val="24"/>
                <w:szCs w:val="24"/>
              </w:rPr>
            </w:pPr>
            <w:r>
              <w:rPr>
                <w:rFonts w:ascii="Arial" w:hAnsi="Arial" w:cs="Arial"/>
                <w:sz w:val="24"/>
                <w:szCs w:val="24"/>
              </w:rPr>
              <w:t>No</w:t>
            </w:r>
          </w:p>
        </w:tc>
        <w:tc>
          <w:tcPr>
            <w:tcW w:w="2690"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Según presentase el antecedente.</w:t>
            </w:r>
          </w:p>
        </w:tc>
        <w:tc>
          <w:tcPr>
            <w:tcW w:w="1575" w:type="dxa"/>
          </w:tcPr>
          <w:p w:rsidR="00A37DBF" w:rsidRDefault="00A37DBF" w:rsidP="004D272A">
            <w:pPr>
              <w:spacing w:line="360" w:lineRule="auto"/>
              <w:jc w:val="both"/>
              <w:rPr>
                <w:rFonts w:ascii="Arial" w:hAnsi="Arial" w:cs="Arial"/>
                <w:sz w:val="24"/>
                <w:szCs w:val="24"/>
              </w:rPr>
            </w:pPr>
            <w:r>
              <w:rPr>
                <w:rFonts w:ascii="Arial" w:hAnsi="Arial" w:cs="Arial"/>
                <w:sz w:val="24"/>
                <w:szCs w:val="24"/>
              </w:rPr>
              <w:t>Frecuencia absoluta y relativa</w:t>
            </w:r>
          </w:p>
        </w:tc>
      </w:tr>
      <w:tr w:rsidR="00A37DBF" w:rsidTr="00CB14F3">
        <w:trPr>
          <w:trHeight w:val="1294"/>
        </w:trPr>
        <w:tc>
          <w:tcPr>
            <w:tcW w:w="2264" w:type="dxa"/>
          </w:tcPr>
          <w:p w:rsidR="00A37DBF" w:rsidRDefault="00A37DBF" w:rsidP="004D272A">
            <w:pPr>
              <w:spacing w:line="360" w:lineRule="auto"/>
              <w:jc w:val="both"/>
              <w:rPr>
                <w:rFonts w:ascii="Arial" w:hAnsi="Arial" w:cs="Arial"/>
                <w:sz w:val="24"/>
                <w:szCs w:val="24"/>
              </w:rPr>
            </w:pPr>
            <w:r>
              <w:rPr>
                <w:rFonts w:ascii="Arial" w:hAnsi="Arial" w:cs="Arial"/>
                <w:bCs/>
                <w:sz w:val="24"/>
                <w:szCs w:val="24"/>
              </w:rPr>
              <w:t>Diabetes Mellitus</w:t>
            </w:r>
          </w:p>
        </w:tc>
        <w:tc>
          <w:tcPr>
            <w:tcW w:w="2263" w:type="dxa"/>
            <w:gridSpan w:val="3"/>
          </w:tcPr>
          <w:p w:rsidR="00A37DBF" w:rsidRDefault="00A37DBF" w:rsidP="004D272A">
            <w:pPr>
              <w:spacing w:line="360" w:lineRule="auto"/>
              <w:jc w:val="both"/>
              <w:rPr>
                <w:rFonts w:ascii="Arial" w:hAnsi="Arial" w:cs="Arial"/>
                <w:sz w:val="24"/>
                <w:szCs w:val="24"/>
              </w:rPr>
            </w:pPr>
            <w:r>
              <w:rPr>
                <w:rFonts w:ascii="Arial" w:hAnsi="Arial" w:cs="Arial"/>
                <w:sz w:val="24"/>
                <w:szCs w:val="24"/>
              </w:rPr>
              <w:t>Cualitativa nominal dicotómica</w:t>
            </w:r>
          </w:p>
        </w:tc>
        <w:tc>
          <w:tcPr>
            <w:tcW w:w="2549" w:type="dxa"/>
            <w:gridSpan w:val="5"/>
            <w:tcBorders>
              <w:right w:val="single" w:sz="4" w:space="0" w:color="auto"/>
            </w:tcBorders>
          </w:tcPr>
          <w:p w:rsidR="00A37DBF" w:rsidRDefault="00A37DBF" w:rsidP="004D272A">
            <w:pPr>
              <w:pStyle w:val="Prrafodelista"/>
              <w:numPr>
                <w:ilvl w:val="0"/>
                <w:numId w:val="2"/>
              </w:numPr>
              <w:spacing w:line="360" w:lineRule="auto"/>
              <w:jc w:val="both"/>
              <w:rPr>
                <w:rFonts w:ascii="Arial" w:hAnsi="Arial" w:cs="Arial"/>
                <w:sz w:val="24"/>
                <w:szCs w:val="24"/>
              </w:rPr>
            </w:pPr>
            <w:r>
              <w:rPr>
                <w:rFonts w:ascii="Arial" w:hAnsi="Arial" w:cs="Arial"/>
                <w:sz w:val="24"/>
                <w:szCs w:val="24"/>
              </w:rPr>
              <w:t>Sí</w:t>
            </w:r>
          </w:p>
          <w:p w:rsidR="00A37DBF" w:rsidRPr="004E778F" w:rsidRDefault="00A37DBF" w:rsidP="004D272A">
            <w:pPr>
              <w:pStyle w:val="Prrafodelista"/>
              <w:numPr>
                <w:ilvl w:val="0"/>
                <w:numId w:val="2"/>
              </w:numPr>
              <w:jc w:val="both"/>
              <w:rPr>
                <w:rFonts w:ascii="Arial" w:hAnsi="Arial" w:cs="Arial"/>
                <w:sz w:val="24"/>
                <w:szCs w:val="24"/>
              </w:rPr>
            </w:pPr>
            <w:r w:rsidRPr="004E778F">
              <w:rPr>
                <w:rFonts w:ascii="Arial" w:hAnsi="Arial" w:cs="Arial"/>
                <w:sz w:val="24"/>
                <w:szCs w:val="24"/>
              </w:rPr>
              <w:t>No</w:t>
            </w:r>
          </w:p>
        </w:tc>
        <w:tc>
          <w:tcPr>
            <w:tcW w:w="2690"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Según presentase el antecedente.</w:t>
            </w:r>
          </w:p>
          <w:p w:rsidR="00A37DBF" w:rsidRDefault="00A37DBF" w:rsidP="004D272A">
            <w:pPr>
              <w:spacing w:line="360" w:lineRule="auto"/>
              <w:jc w:val="both"/>
              <w:rPr>
                <w:rFonts w:ascii="Arial" w:hAnsi="Arial" w:cs="Arial"/>
                <w:sz w:val="24"/>
                <w:szCs w:val="24"/>
              </w:rPr>
            </w:pPr>
          </w:p>
        </w:tc>
        <w:tc>
          <w:tcPr>
            <w:tcW w:w="1575" w:type="dxa"/>
          </w:tcPr>
          <w:p w:rsidR="00A37DBF" w:rsidRDefault="00A37DBF" w:rsidP="004D272A">
            <w:pPr>
              <w:spacing w:line="360" w:lineRule="auto"/>
              <w:jc w:val="both"/>
              <w:rPr>
                <w:rFonts w:ascii="Arial" w:hAnsi="Arial" w:cs="Arial"/>
                <w:sz w:val="24"/>
                <w:szCs w:val="24"/>
              </w:rPr>
            </w:pPr>
            <w:r>
              <w:rPr>
                <w:rFonts w:ascii="Arial" w:hAnsi="Arial" w:cs="Arial"/>
                <w:sz w:val="24"/>
                <w:szCs w:val="24"/>
              </w:rPr>
              <w:t>Frecuencia absoluta y relativa</w:t>
            </w:r>
          </w:p>
        </w:tc>
      </w:tr>
      <w:tr w:rsidR="00A37DBF" w:rsidTr="004D272A">
        <w:trPr>
          <w:trHeight w:val="3103"/>
        </w:trPr>
        <w:tc>
          <w:tcPr>
            <w:tcW w:w="2264" w:type="dxa"/>
          </w:tcPr>
          <w:p w:rsidR="00A37DBF" w:rsidRDefault="00A37DBF" w:rsidP="004D272A">
            <w:pPr>
              <w:spacing w:line="360" w:lineRule="auto"/>
              <w:jc w:val="both"/>
              <w:rPr>
                <w:rFonts w:ascii="Arial" w:hAnsi="Arial" w:cs="Arial"/>
                <w:sz w:val="24"/>
                <w:szCs w:val="24"/>
              </w:rPr>
            </w:pPr>
            <w:r>
              <w:rPr>
                <w:rFonts w:ascii="Arial" w:hAnsi="Arial" w:cs="Arial"/>
                <w:sz w:val="24"/>
                <w:szCs w:val="24"/>
              </w:rPr>
              <w:t>Hábito de fumar</w:t>
            </w:r>
          </w:p>
        </w:tc>
        <w:tc>
          <w:tcPr>
            <w:tcW w:w="2263" w:type="dxa"/>
            <w:gridSpan w:val="3"/>
          </w:tcPr>
          <w:p w:rsidR="00A37DBF" w:rsidRDefault="00A37DBF" w:rsidP="004D272A">
            <w:pPr>
              <w:spacing w:line="360" w:lineRule="auto"/>
              <w:jc w:val="both"/>
              <w:rPr>
                <w:rFonts w:ascii="Arial" w:hAnsi="Arial" w:cs="Arial"/>
                <w:sz w:val="24"/>
                <w:szCs w:val="24"/>
              </w:rPr>
            </w:pPr>
            <w:r>
              <w:rPr>
                <w:rFonts w:ascii="Arial" w:hAnsi="Arial" w:cs="Arial"/>
                <w:sz w:val="24"/>
                <w:szCs w:val="24"/>
              </w:rPr>
              <w:t>Cualitativa nominal dicotómica</w:t>
            </w:r>
          </w:p>
        </w:tc>
        <w:tc>
          <w:tcPr>
            <w:tcW w:w="2549" w:type="dxa"/>
            <w:gridSpan w:val="5"/>
            <w:tcBorders>
              <w:right w:val="single" w:sz="4" w:space="0" w:color="auto"/>
            </w:tcBorders>
          </w:tcPr>
          <w:p w:rsidR="00A37DBF" w:rsidRDefault="00A37DBF" w:rsidP="004D272A">
            <w:pPr>
              <w:pStyle w:val="Prrafodelista"/>
              <w:numPr>
                <w:ilvl w:val="0"/>
                <w:numId w:val="2"/>
              </w:numPr>
              <w:spacing w:line="360" w:lineRule="auto"/>
              <w:jc w:val="both"/>
              <w:rPr>
                <w:rFonts w:ascii="Arial" w:hAnsi="Arial" w:cs="Arial"/>
                <w:sz w:val="24"/>
                <w:szCs w:val="24"/>
              </w:rPr>
            </w:pPr>
            <w:r>
              <w:rPr>
                <w:rFonts w:ascii="Arial" w:hAnsi="Arial" w:cs="Arial"/>
                <w:sz w:val="24"/>
                <w:szCs w:val="24"/>
              </w:rPr>
              <w:t>Sí</w:t>
            </w:r>
          </w:p>
          <w:p w:rsidR="00A37DBF" w:rsidRPr="004E778F" w:rsidRDefault="00A37DBF" w:rsidP="004D272A">
            <w:pPr>
              <w:pStyle w:val="Prrafodelista"/>
              <w:numPr>
                <w:ilvl w:val="0"/>
                <w:numId w:val="2"/>
              </w:numPr>
              <w:spacing w:line="360" w:lineRule="auto"/>
              <w:jc w:val="both"/>
              <w:rPr>
                <w:rFonts w:ascii="Arial" w:hAnsi="Arial" w:cs="Arial"/>
                <w:sz w:val="24"/>
                <w:szCs w:val="24"/>
              </w:rPr>
            </w:pPr>
            <w:r w:rsidRPr="004E778F">
              <w:rPr>
                <w:rFonts w:ascii="Arial" w:hAnsi="Arial" w:cs="Arial"/>
                <w:sz w:val="24"/>
                <w:szCs w:val="24"/>
              </w:rPr>
              <w:t>No</w:t>
            </w:r>
          </w:p>
        </w:tc>
        <w:tc>
          <w:tcPr>
            <w:tcW w:w="2690"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sidRPr="004E778F">
              <w:rPr>
                <w:rFonts w:ascii="Arial" w:hAnsi="Arial" w:cs="Arial"/>
                <w:sz w:val="24"/>
                <w:szCs w:val="24"/>
              </w:rPr>
              <w:t>Según fuese fumador independientemente del número de</w:t>
            </w:r>
            <w:r>
              <w:rPr>
                <w:rFonts w:ascii="Arial" w:hAnsi="Arial" w:cs="Arial"/>
                <w:sz w:val="24"/>
                <w:szCs w:val="24"/>
              </w:rPr>
              <w:t xml:space="preserve"> </w:t>
            </w:r>
            <w:r w:rsidRPr="004E778F">
              <w:rPr>
                <w:rFonts w:ascii="Arial" w:hAnsi="Arial" w:cs="Arial"/>
                <w:sz w:val="24"/>
                <w:szCs w:val="24"/>
              </w:rPr>
              <w:t>cigarrillos fumados o ex fumador de menos de 1 año.</w:t>
            </w:r>
          </w:p>
        </w:tc>
        <w:tc>
          <w:tcPr>
            <w:tcW w:w="1575" w:type="dxa"/>
          </w:tcPr>
          <w:p w:rsidR="00A37DBF" w:rsidRDefault="00A37DBF" w:rsidP="004D272A">
            <w:pPr>
              <w:spacing w:line="360" w:lineRule="auto"/>
              <w:jc w:val="both"/>
              <w:rPr>
                <w:rFonts w:ascii="Arial" w:hAnsi="Arial" w:cs="Arial"/>
                <w:sz w:val="24"/>
                <w:szCs w:val="24"/>
              </w:rPr>
            </w:pPr>
            <w:r>
              <w:rPr>
                <w:rFonts w:ascii="Arial" w:hAnsi="Arial" w:cs="Arial"/>
                <w:sz w:val="24"/>
                <w:szCs w:val="24"/>
              </w:rPr>
              <w:t>Frecuencia absoluta y relativa</w:t>
            </w:r>
          </w:p>
        </w:tc>
      </w:tr>
      <w:tr w:rsidR="00A37DBF" w:rsidTr="004D272A">
        <w:trPr>
          <w:trHeight w:val="1546"/>
        </w:trPr>
        <w:tc>
          <w:tcPr>
            <w:tcW w:w="2264" w:type="dxa"/>
          </w:tcPr>
          <w:p w:rsidR="00A37DBF" w:rsidRDefault="00A37DBF" w:rsidP="004D272A">
            <w:pPr>
              <w:spacing w:line="360" w:lineRule="auto"/>
              <w:jc w:val="both"/>
              <w:rPr>
                <w:rFonts w:ascii="Arial" w:hAnsi="Arial" w:cs="Arial"/>
                <w:sz w:val="24"/>
                <w:szCs w:val="24"/>
              </w:rPr>
            </w:pPr>
            <w:r>
              <w:rPr>
                <w:rFonts w:ascii="Arial" w:hAnsi="Arial" w:cs="Arial"/>
                <w:bCs/>
                <w:sz w:val="24"/>
                <w:szCs w:val="24"/>
              </w:rPr>
              <w:lastRenderedPageBreak/>
              <w:t>ERC previa</w:t>
            </w:r>
          </w:p>
        </w:tc>
        <w:tc>
          <w:tcPr>
            <w:tcW w:w="2263" w:type="dxa"/>
            <w:gridSpan w:val="3"/>
          </w:tcPr>
          <w:p w:rsidR="00A37DBF" w:rsidRDefault="00A37DBF" w:rsidP="004D272A">
            <w:pPr>
              <w:spacing w:line="360" w:lineRule="auto"/>
              <w:jc w:val="both"/>
              <w:rPr>
                <w:rFonts w:ascii="Arial" w:hAnsi="Arial" w:cs="Arial"/>
                <w:sz w:val="24"/>
                <w:szCs w:val="24"/>
              </w:rPr>
            </w:pPr>
            <w:r>
              <w:rPr>
                <w:rFonts w:ascii="Arial" w:hAnsi="Arial" w:cs="Arial"/>
                <w:sz w:val="24"/>
                <w:szCs w:val="24"/>
              </w:rPr>
              <w:t>Cualitativa nominal dicotómica</w:t>
            </w:r>
          </w:p>
        </w:tc>
        <w:tc>
          <w:tcPr>
            <w:tcW w:w="2549" w:type="dxa"/>
            <w:gridSpan w:val="5"/>
            <w:tcBorders>
              <w:right w:val="single" w:sz="4" w:space="0" w:color="auto"/>
            </w:tcBorders>
          </w:tcPr>
          <w:p w:rsidR="00A37DBF" w:rsidRDefault="00A37DBF" w:rsidP="004D272A">
            <w:pPr>
              <w:pStyle w:val="Prrafodelista"/>
              <w:numPr>
                <w:ilvl w:val="0"/>
                <w:numId w:val="2"/>
              </w:numPr>
              <w:spacing w:line="360" w:lineRule="auto"/>
              <w:jc w:val="both"/>
              <w:rPr>
                <w:rFonts w:ascii="Arial" w:hAnsi="Arial" w:cs="Arial"/>
                <w:sz w:val="24"/>
                <w:szCs w:val="24"/>
              </w:rPr>
            </w:pPr>
            <w:r>
              <w:rPr>
                <w:rFonts w:ascii="Arial" w:hAnsi="Arial" w:cs="Arial"/>
                <w:sz w:val="24"/>
                <w:szCs w:val="24"/>
              </w:rPr>
              <w:t>Sí</w:t>
            </w:r>
          </w:p>
          <w:p w:rsidR="00A37DBF" w:rsidRPr="004E778F" w:rsidRDefault="00A37DBF" w:rsidP="004D272A">
            <w:pPr>
              <w:pStyle w:val="Prrafodelista"/>
              <w:numPr>
                <w:ilvl w:val="0"/>
                <w:numId w:val="2"/>
              </w:numPr>
              <w:spacing w:line="360" w:lineRule="auto"/>
              <w:jc w:val="both"/>
              <w:rPr>
                <w:rFonts w:ascii="Arial" w:hAnsi="Arial" w:cs="Arial"/>
                <w:sz w:val="24"/>
                <w:szCs w:val="24"/>
              </w:rPr>
            </w:pPr>
            <w:r w:rsidRPr="004E778F">
              <w:rPr>
                <w:rFonts w:ascii="Arial" w:hAnsi="Arial" w:cs="Arial"/>
                <w:sz w:val="24"/>
                <w:szCs w:val="24"/>
              </w:rPr>
              <w:t xml:space="preserve">No </w:t>
            </w:r>
          </w:p>
        </w:tc>
        <w:tc>
          <w:tcPr>
            <w:tcW w:w="2690"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sidRPr="004E778F">
              <w:rPr>
                <w:rFonts w:ascii="Arial" w:hAnsi="Arial" w:cs="Arial"/>
                <w:sz w:val="24"/>
                <w:szCs w:val="24"/>
              </w:rPr>
              <w:t xml:space="preserve">Según presentase diagnóstico previo de </w:t>
            </w:r>
            <w:r>
              <w:rPr>
                <w:rFonts w:ascii="Arial" w:hAnsi="Arial" w:cs="Arial"/>
                <w:sz w:val="24"/>
                <w:szCs w:val="24"/>
              </w:rPr>
              <w:t>ERC</w:t>
            </w:r>
            <w:r w:rsidRPr="004E778F">
              <w:rPr>
                <w:rFonts w:ascii="Arial" w:hAnsi="Arial" w:cs="Arial"/>
                <w:sz w:val="24"/>
                <w:szCs w:val="24"/>
              </w:rPr>
              <w:t>.</w:t>
            </w:r>
          </w:p>
        </w:tc>
        <w:tc>
          <w:tcPr>
            <w:tcW w:w="1575" w:type="dxa"/>
          </w:tcPr>
          <w:p w:rsidR="00A37DBF" w:rsidRDefault="00A37DBF" w:rsidP="004D272A">
            <w:pPr>
              <w:spacing w:line="360" w:lineRule="auto"/>
              <w:jc w:val="both"/>
              <w:rPr>
                <w:rFonts w:ascii="Arial" w:hAnsi="Arial" w:cs="Arial"/>
                <w:sz w:val="24"/>
                <w:szCs w:val="24"/>
              </w:rPr>
            </w:pPr>
            <w:r>
              <w:rPr>
                <w:rFonts w:ascii="Arial" w:hAnsi="Arial" w:cs="Arial"/>
                <w:sz w:val="24"/>
                <w:szCs w:val="24"/>
              </w:rPr>
              <w:t>Frecuencia absoluta y relativa</w:t>
            </w:r>
          </w:p>
        </w:tc>
      </w:tr>
      <w:tr w:rsidR="00A37DBF" w:rsidTr="004D272A">
        <w:trPr>
          <w:trHeight w:val="283"/>
        </w:trPr>
        <w:tc>
          <w:tcPr>
            <w:tcW w:w="11341" w:type="dxa"/>
            <w:gridSpan w:val="12"/>
          </w:tcPr>
          <w:p w:rsidR="00A37DBF" w:rsidRPr="00655A46" w:rsidRDefault="00A37DBF" w:rsidP="004D272A">
            <w:pPr>
              <w:spacing w:line="360" w:lineRule="auto"/>
              <w:jc w:val="both"/>
              <w:rPr>
                <w:rFonts w:ascii="Arial" w:hAnsi="Arial" w:cs="Arial"/>
                <w:b/>
                <w:sz w:val="24"/>
                <w:szCs w:val="24"/>
              </w:rPr>
            </w:pPr>
            <w:r w:rsidRPr="00655A46">
              <w:rPr>
                <w:rFonts w:ascii="Arial" w:hAnsi="Arial" w:cs="Arial"/>
                <w:b/>
                <w:sz w:val="24"/>
                <w:szCs w:val="24"/>
              </w:rPr>
              <w:t>Clínica y Laboratorio al ingreso</w:t>
            </w:r>
          </w:p>
        </w:tc>
      </w:tr>
      <w:tr w:rsidR="00A37DBF" w:rsidTr="004D272A">
        <w:trPr>
          <w:trHeight w:val="1126"/>
        </w:trPr>
        <w:tc>
          <w:tcPr>
            <w:tcW w:w="2405" w:type="dxa"/>
            <w:gridSpan w:val="2"/>
            <w:tcBorders>
              <w:right w:val="single" w:sz="4" w:space="0" w:color="auto"/>
            </w:tcBorders>
          </w:tcPr>
          <w:p w:rsidR="00A37DBF" w:rsidRPr="00655A46" w:rsidRDefault="00A37DBF" w:rsidP="004D272A">
            <w:pPr>
              <w:spacing w:line="360" w:lineRule="auto"/>
              <w:jc w:val="both"/>
              <w:rPr>
                <w:rFonts w:ascii="Arial" w:hAnsi="Arial" w:cs="Arial"/>
                <w:sz w:val="24"/>
                <w:szCs w:val="24"/>
              </w:rPr>
            </w:pPr>
            <w:r w:rsidRPr="00655A46">
              <w:rPr>
                <w:rFonts w:ascii="Arial" w:hAnsi="Arial" w:cs="Arial"/>
                <w:sz w:val="24"/>
                <w:szCs w:val="24"/>
              </w:rPr>
              <w:t>Tensión arterial sistólica</w:t>
            </w:r>
          </w:p>
        </w:tc>
        <w:tc>
          <w:tcPr>
            <w:tcW w:w="2414" w:type="dxa"/>
            <w:gridSpan w:val="3"/>
            <w:tcBorders>
              <w:left w:val="single" w:sz="4" w:space="0" w:color="auto"/>
              <w:right w:val="single" w:sz="4" w:space="0" w:color="auto"/>
            </w:tcBorders>
          </w:tcPr>
          <w:p w:rsidR="00A37DBF" w:rsidRPr="00655A46" w:rsidRDefault="00A37DBF" w:rsidP="004D272A">
            <w:pPr>
              <w:spacing w:line="360" w:lineRule="auto"/>
              <w:jc w:val="both"/>
              <w:rPr>
                <w:rFonts w:ascii="Arial" w:hAnsi="Arial" w:cs="Arial"/>
                <w:sz w:val="24"/>
                <w:szCs w:val="24"/>
              </w:rPr>
            </w:pPr>
            <w:r w:rsidRPr="00655A46">
              <w:rPr>
                <w:rFonts w:ascii="Arial" w:hAnsi="Arial" w:cs="Arial"/>
                <w:sz w:val="24"/>
                <w:szCs w:val="24"/>
              </w:rPr>
              <w:t>Cuantitativa continua</w:t>
            </w:r>
          </w:p>
        </w:tc>
        <w:tc>
          <w:tcPr>
            <w:tcW w:w="1848" w:type="dxa"/>
            <w:tcBorders>
              <w:left w:val="single" w:sz="4" w:space="0" w:color="auto"/>
              <w:right w:val="single" w:sz="4" w:space="0" w:color="auto"/>
            </w:tcBorders>
          </w:tcPr>
          <w:p w:rsidR="00A37DBF" w:rsidRPr="00655A46" w:rsidRDefault="00A37DBF" w:rsidP="004D272A">
            <w:pPr>
              <w:spacing w:line="360" w:lineRule="auto"/>
              <w:jc w:val="both"/>
              <w:rPr>
                <w:rFonts w:ascii="Arial" w:hAnsi="Arial" w:cs="Arial"/>
                <w:sz w:val="24"/>
                <w:szCs w:val="24"/>
              </w:rPr>
            </w:pPr>
          </w:p>
        </w:tc>
        <w:tc>
          <w:tcPr>
            <w:tcW w:w="2975" w:type="dxa"/>
            <w:gridSpan w:val="4"/>
            <w:tcBorders>
              <w:left w:val="single" w:sz="4" w:space="0" w:color="auto"/>
              <w:right w:val="single" w:sz="4" w:space="0" w:color="auto"/>
            </w:tcBorders>
          </w:tcPr>
          <w:p w:rsidR="00A37DBF" w:rsidRPr="00655A46" w:rsidRDefault="00A37DBF" w:rsidP="004D272A">
            <w:pPr>
              <w:spacing w:line="360" w:lineRule="auto"/>
              <w:jc w:val="both"/>
              <w:rPr>
                <w:rFonts w:ascii="Arial" w:hAnsi="Arial" w:cs="Arial"/>
                <w:sz w:val="24"/>
                <w:szCs w:val="24"/>
              </w:rPr>
            </w:pPr>
            <w:r>
              <w:rPr>
                <w:rFonts w:ascii="Arial" w:hAnsi="Arial" w:cs="Arial"/>
                <w:sz w:val="24"/>
                <w:szCs w:val="24"/>
              </w:rPr>
              <w:t>Primer valor determinado al ingreso.</w:t>
            </w:r>
          </w:p>
        </w:tc>
        <w:tc>
          <w:tcPr>
            <w:tcW w:w="1699" w:type="dxa"/>
            <w:gridSpan w:val="2"/>
            <w:tcBorders>
              <w:left w:val="single" w:sz="4" w:space="0" w:color="auto"/>
            </w:tcBorders>
          </w:tcPr>
          <w:p w:rsidR="00A37DBF" w:rsidRPr="00655A46" w:rsidRDefault="00A37DBF" w:rsidP="004D272A">
            <w:pPr>
              <w:spacing w:line="360" w:lineRule="auto"/>
              <w:jc w:val="both"/>
              <w:rPr>
                <w:rFonts w:ascii="Arial" w:hAnsi="Arial" w:cs="Arial"/>
                <w:sz w:val="24"/>
                <w:szCs w:val="24"/>
              </w:rPr>
            </w:pPr>
            <w:r>
              <w:rPr>
                <w:rFonts w:ascii="Arial" w:hAnsi="Arial" w:cs="Arial"/>
                <w:sz w:val="24"/>
                <w:szCs w:val="24"/>
              </w:rPr>
              <w:t>Mediana y rango intercuartílico</w:t>
            </w:r>
          </w:p>
        </w:tc>
      </w:tr>
      <w:tr w:rsidR="00A37DBF" w:rsidTr="004D272A">
        <w:trPr>
          <w:trHeight w:val="1126"/>
        </w:trPr>
        <w:tc>
          <w:tcPr>
            <w:tcW w:w="2405" w:type="dxa"/>
            <w:gridSpan w:val="2"/>
            <w:tcBorders>
              <w:right w:val="single" w:sz="4" w:space="0" w:color="auto"/>
            </w:tcBorders>
          </w:tcPr>
          <w:p w:rsidR="00A37DBF" w:rsidRPr="00655A46" w:rsidRDefault="00A37DBF" w:rsidP="004D272A">
            <w:pPr>
              <w:spacing w:line="360" w:lineRule="auto"/>
              <w:jc w:val="both"/>
              <w:rPr>
                <w:rFonts w:ascii="Arial" w:hAnsi="Arial" w:cs="Arial"/>
                <w:sz w:val="24"/>
                <w:szCs w:val="24"/>
              </w:rPr>
            </w:pPr>
            <w:r w:rsidRPr="00655A46">
              <w:rPr>
                <w:rFonts w:ascii="Arial" w:hAnsi="Arial" w:cs="Arial"/>
                <w:sz w:val="24"/>
                <w:szCs w:val="24"/>
              </w:rPr>
              <w:t xml:space="preserve">Tensión arterial </w:t>
            </w:r>
            <w:r>
              <w:rPr>
                <w:rFonts w:ascii="Arial" w:hAnsi="Arial" w:cs="Arial"/>
                <w:sz w:val="24"/>
                <w:szCs w:val="24"/>
              </w:rPr>
              <w:t>diastólica</w:t>
            </w:r>
          </w:p>
        </w:tc>
        <w:tc>
          <w:tcPr>
            <w:tcW w:w="2414" w:type="dxa"/>
            <w:gridSpan w:val="3"/>
            <w:tcBorders>
              <w:left w:val="single" w:sz="4" w:space="0" w:color="auto"/>
              <w:right w:val="single" w:sz="4" w:space="0" w:color="auto"/>
            </w:tcBorders>
          </w:tcPr>
          <w:p w:rsidR="00A37DBF" w:rsidRPr="00655A46" w:rsidRDefault="00A37DBF" w:rsidP="004D272A">
            <w:pPr>
              <w:spacing w:line="360" w:lineRule="auto"/>
              <w:jc w:val="both"/>
              <w:rPr>
                <w:rFonts w:ascii="Arial" w:hAnsi="Arial" w:cs="Arial"/>
                <w:sz w:val="24"/>
                <w:szCs w:val="24"/>
              </w:rPr>
            </w:pPr>
            <w:r w:rsidRPr="00655A46">
              <w:rPr>
                <w:rFonts w:ascii="Arial" w:hAnsi="Arial" w:cs="Arial"/>
                <w:sz w:val="24"/>
                <w:szCs w:val="24"/>
              </w:rPr>
              <w:t>Cuantitativa continua</w:t>
            </w:r>
          </w:p>
        </w:tc>
        <w:tc>
          <w:tcPr>
            <w:tcW w:w="1848" w:type="dxa"/>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p>
          <w:p w:rsidR="00A37DBF" w:rsidRDefault="00A37DBF" w:rsidP="004D272A">
            <w:pPr>
              <w:rPr>
                <w:rFonts w:ascii="Arial" w:hAnsi="Arial" w:cs="Arial"/>
                <w:sz w:val="24"/>
                <w:szCs w:val="24"/>
              </w:rPr>
            </w:pPr>
          </w:p>
          <w:p w:rsidR="00A37DBF" w:rsidRPr="00655A46" w:rsidRDefault="00A37DBF" w:rsidP="004D272A">
            <w:pPr>
              <w:jc w:val="center"/>
              <w:rPr>
                <w:rFonts w:ascii="Arial" w:hAnsi="Arial" w:cs="Arial"/>
                <w:sz w:val="24"/>
                <w:szCs w:val="24"/>
              </w:rPr>
            </w:pPr>
          </w:p>
        </w:tc>
        <w:tc>
          <w:tcPr>
            <w:tcW w:w="2975" w:type="dxa"/>
            <w:gridSpan w:val="4"/>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Primer valor determinado al ingreso.</w:t>
            </w:r>
          </w:p>
        </w:tc>
        <w:tc>
          <w:tcPr>
            <w:tcW w:w="1699"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Mediana y rango intercuartílico</w:t>
            </w:r>
          </w:p>
        </w:tc>
      </w:tr>
      <w:tr w:rsidR="00A37DBF" w:rsidTr="004D272A">
        <w:trPr>
          <w:trHeight w:val="1126"/>
        </w:trPr>
        <w:tc>
          <w:tcPr>
            <w:tcW w:w="2405" w:type="dxa"/>
            <w:gridSpan w:val="2"/>
            <w:tcBorders>
              <w:right w:val="single" w:sz="4" w:space="0" w:color="auto"/>
            </w:tcBorders>
          </w:tcPr>
          <w:p w:rsidR="00A37DBF" w:rsidRPr="00655A46" w:rsidRDefault="00A37DBF" w:rsidP="004D272A">
            <w:pPr>
              <w:spacing w:line="360" w:lineRule="auto"/>
              <w:jc w:val="both"/>
              <w:rPr>
                <w:rFonts w:ascii="Arial" w:hAnsi="Arial" w:cs="Arial"/>
                <w:sz w:val="24"/>
                <w:szCs w:val="24"/>
              </w:rPr>
            </w:pPr>
            <w:r w:rsidRPr="00BF6101">
              <w:rPr>
                <w:rFonts w:ascii="Arial" w:hAnsi="Arial" w:cs="Arial"/>
                <w:sz w:val="24"/>
                <w:szCs w:val="24"/>
              </w:rPr>
              <w:t>Filtrado glomerular</w:t>
            </w:r>
            <w:r>
              <w:rPr>
                <w:rFonts w:ascii="Arial" w:hAnsi="Arial" w:cs="Arial"/>
                <w:sz w:val="24"/>
                <w:szCs w:val="24"/>
              </w:rPr>
              <w:t xml:space="preserve"> &lt;60</w:t>
            </w:r>
            <w:r w:rsidRPr="00BF6101">
              <w:rPr>
                <w:rFonts w:ascii="Arial" w:hAnsi="Arial" w:cs="Arial"/>
                <w:sz w:val="24"/>
                <w:szCs w:val="24"/>
              </w:rPr>
              <w:t xml:space="preserve"> (ml/min/1.73m</w:t>
            </w:r>
            <w:r w:rsidRPr="00BF6101">
              <w:rPr>
                <w:rFonts w:ascii="Arial" w:hAnsi="Arial" w:cs="Arial"/>
                <w:sz w:val="24"/>
                <w:szCs w:val="24"/>
                <w:vertAlign w:val="superscript"/>
              </w:rPr>
              <w:t>2</w:t>
            </w:r>
            <w:r w:rsidRPr="00BF6101">
              <w:rPr>
                <w:rFonts w:ascii="Arial" w:hAnsi="Arial" w:cs="Arial"/>
                <w:sz w:val="24"/>
                <w:szCs w:val="24"/>
              </w:rPr>
              <w:t>)</w:t>
            </w:r>
          </w:p>
        </w:tc>
        <w:tc>
          <w:tcPr>
            <w:tcW w:w="2414" w:type="dxa"/>
            <w:gridSpan w:val="3"/>
            <w:tcBorders>
              <w:left w:val="single" w:sz="4" w:space="0" w:color="auto"/>
              <w:right w:val="single" w:sz="4" w:space="0" w:color="auto"/>
            </w:tcBorders>
          </w:tcPr>
          <w:p w:rsidR="00A37DBF" w:rsidRPr="00655A46" w:rsidRDefault="00A37DBF" w:rsidP="004D272A">
            <w:pPr>
              <w:spacing w:line="360" w:lineRule="auto"/>
              <w:jc w:val="both"/>
              <w:rPr>
                <w:rFonts w:ascii="Arial" w:hAnsi="Arial" w:cs="Arial"/>
                <w:sz w:val="24"/>
                <w:szCs w:val="24"/>
              </w:rPr>
            </w:pPr>
            <w:r>
              <w:rPr>
                <w:rFonts w:ascii="Arial" w:hAnsi="Arial" w:cs="Arial"/>
                <w:sz w:val="24"/>
                <w:szCs w:val="24"/>
              </w:rPr>
              <w:t>Cualitativa nominal dicotómica</w:t>
            </w:r>
          </w:p>
        </w:tc>
        <w:tc>
          <w:tcPr>
            <w:tcW w:w="1848" w:type="dxa"/>
            <w:tcBorders>
              <w:left w:val="single" w:sz="4" w:space="0" w:color="auto"/>
              <w:right w:val="single" w:sz="4" w:space="0" w:color="auto"/>
            </w:tcBorders>
          </w:tcPr>
          <w:p w:rsidR="00A37DBF" w:rsidRDefault="00A37DBF" w:rsidP="004D272A">
            <w:pPr>
              <w:pStyle w:val="Prrafodelista"/>
              <w:numPr>
                <w:ilvl w:val="0"/>
                <w:numId w:val="3"/>
              </w:numPr>
              <w:spacing w:line="360" w:lineRule="auto"/>
              <w:jc w:val="both"/>
              <w:rPr>
                <w:rFonts w:ascii="Arial" w:hAnsi="Arial" w:cs="Arial"/>
                <w:sz w:val="24"/>
                <w:szCs w:val="24"/>
              </w:rPr>
            </w:pPr>
            <w:r>
              <w:rPr>
                <w:rFonts w:ascii="Arial" w:hAnsi="Arial" w:cs="Arial"/>
                <w:sz w:val="24"/>
                <w:szCs w:val="24"/>
              </w:rPr>
              <w:t>Sí</w:t>
            </w:r>
          </w:p>
          <w:p w:rsidR="00A37DBF" w:rsidRPr="006B1577" w:rsidRDefault="00A37DBF" w:rsidP="004D272A">
            <w:pPr>
              <w:pStyle w:val="Prrafodelista"/>
              <w:numPr>
                <w:ilvl w:val="0"/>
                <w:numId w:val="3"/>
              </w:numPr>
              <w:spacing w:line="360" w:lineRule="auto"/>
              <w:jc w:val="both"/>
              <w:rPr>
                <w:rFonts w:ascii="Arial" w:hAnsi="Arial" w:cs="Arial"/>
                <w:sz w:val="24"/>
                <w:szCs w:val="24"/>
              </w:rPr>
            </w:pPr>
            <w:r>
              <w:rPr>
                <w:rFonts w:ascii="Arial" w:hAnsi="Arial" w:cs="Arial"/>
                <w:sz w:val="24"/>
                <w:szCs w:val="24"/>
              </w:rPr>
              <w:t>No</w:t>
            </w:r>
          </w:p>
        </w:tc>
        <w:tc>
          <w:tcPr>
            <w:tcW w:w="2975" w:type="dxa"/>
            <w:gridSpan w:val="4"/>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Según valor del filtrado glomerular al ingreso.</w:t>
            </w:r>
          </w:p>
        </w:tc>
        <w:tc>
          <w:tcPr>
            <w:tcW w:w="1699"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Frecuencia absoluta y relativa</w:t>
            </w:r>
          </w:p>
        </w:tc>
      </w:tr>
      <w:tr w:rsidR="00A37DBF" w:rsidTr="004D272A">
        <w:trPr>
          <w:trHeight w:val="1178"/>
        </w:trPr>
        <w:tc>
          <w:tcPr>
            <w:tcW w:w="2405" w:type="dxa"/>
            <w:gridSpan w:val="2"/>
            <w:tcBorders>
              <w:right w:val="single" w:sz="4" w:space="0" w:color="auto"/>
            </w:tcBorders>
          </w:tcPr>
          <w:p w:rsidR="00A37DBF" w:rsidRPr="00BF6101" w:rsidRDefault="00A37DBF" w:rsidP="004D272A">
            <w:pPr>
              <w:spacing w:line="360" w:lineRule="auto"/>
              <w:jc w:val="both"/>
              <w:rPr>
                <w:rFonts w:ascii="Arial" w:hAnsi="Arial" w:cs="Arial"/>
                <w:sz w:val="24"/>
                <w:szCs w:val="24"/>
              </w:rPr>
            </w:pPr>
            <w:r>
              <w:rPr>
                <w:rFonts w:ascii="Arial" w:hAnsi="Arial" w:cs="Arial"/>
                <w:sz w:val="24"/>
                <w:szCs w:val="24"/>
              </w:rPr>
              <w:t>Hipoalbuminemia</w:t>
            </w:r>
          </w:p>
        </w:tc>
        <w:tc>
          <w:tcPr>
            <w:tcW w:w="2414" w:type="dxa"/>
            <w:gridSpan w:val="3"/>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Cualitativa nominal dicotómica</w:t>
            </w:r>
          </w:p>
        </w:tc>
        <w:tc>
          <w:tcPr>
            <w:tcW w:w="1848" w:type="dxa"/>
            <w:tcBorders>
              <w:left w:val="single" w:sz="4" w:space="0" w:color="auto"/>
              <w:right w:val="single" w:sz="4" w:space="0" w:color="auto"/>
            </w:tcBorders>
          </w:tcPr>
          <w:p w:rsidR="00A37DBF" w:rsidRDefault="00A37DBF" w:rsidP="004D272A">
            <w:pPr>
              <w:pStyle w:val="Prrafodelista"/>
              <w:numPr>
                <w:ilvl w:val="0"/>
                <w:numId w:val="3"/>
              </w:numPr>
              <w:spacing w:line="360" w:lineRule="auto"/>
              <w:jc w:val="both"/>
              <w:rPr>
                <w:rFonts w:ascii="Arial" w:hAnsi="Arial" w:cs="Arial"/>
                <w:sz w:val="24"/>
                <w:szCs w:val="24"/>
              </w:rPr>
            </w:pPr>
            <w:r>
              <w:rPr>
                <w:rFonts w:ascii="Arial" w:hAnsi="Arial" w:cs="Arial"/>
                <w:sz w:val="24"/>
                <w:szCs w:val="24"/>
              </w:rPr>
              <w:t>Sí</w:t>
            </w:r>
          </w:p>
          <w:p w:rsidR="00A37DBF" w:rsidRDefault="00A37DBF" w:rsidP="004D272A">
            <w:pPr>
              <w:pStyle w:val="Prrafodelista"/>
              <w:numPr>
                <w:ilvl w:val="0"/>
                <w:numId w:val="3"/>
              </w:numPr>
              <w:spacing w:line="360" w:lineRule="auto"/>
              <w:jc w:val="both"/>
              <w:rPr>
                <w:rFonts w:ascii="Arial" w:hAnsi="Arial" w:cs="Arial"/>
                <w:sz w:val="24"/>
                <w:szCs w:val="24"/>
              </w:rPr>
            </w:pPr>
            <w:r>
              <w:rPr>
                <w:rFonts w:ascii="Arial" w:hAnsi="Arial" w:cs="Arial"/>
                <w:sz w:val="24"/>
                <w:szCs w:val="24"/>
              </w:rPr>
              <w:t>No</w:t>
            </w:r>
          </w:p>
        </w:tc>
        <w:tc>
          <w:tcPr>
            <w:tcW w:w="2975" w:type="dxa"/>
            <w:gridSpan w:val="4"/>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Según valor de la albúmina al ingreso.</w:t>
            </w:r>
          </w:p>
        </w:tc>
        <w:tc>
          <w:tcPr>
            <w:tcW w:w="1699"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Frecuencia absoluta y relativa</w:t>
            </w:r>
          </w:p>
        </w:tc>
      </w:tr>
      <w:tr w:rsidR="00A37DBF" w:rsidTr="004D272A">
        <w:trPr>
          <w:trHeight w:val="1126"/>
        </w:trPr>
        <w:tc>
          <w:tcPr>
            <w:tcW w:w="2405" w:type="dxa"/>
            <w:gridSpan w:val="2"/>
            <w:tcBorders>
              <w:right w:val="single" w:sz="4" w:space="0" w:color="auto"/>
            </w:tcBorders>
          </w:tcPr>
          <w:p w:rsidR="00A37DBF" w:rsidRDefault="00A37DBF" w:rsidP="004D272A">
            <w:pPr>
              <w:spacing w:line="360" w:lineRule="auto"/>
              <w:jc w:val="both"/>
              <w:rPr>
                <w:rFonts w:ascii="Arial" w:hAnsi="Arial" w:cs="Arial"/>
                <w:sz w:val="24"/>
                <w:szCs w:val="24"/>
              </w:rPr>
            </w:pPr>
            <w:r w:rsidRPr="00BF6101">
              <w:rPr>
                <w:rFonts w:ascii="Arial" w:hAnsi="Arial" w:cs="Arial"/>
                <w:sz w:val="24"/>
                <w:szCs w:val="24"/>
              </w:rPr>
              <w:t>Acidemia metabólica</w:t>
            </w:r>
          </w:p>
        </w:tc>
        <w:tc>
          <w:tcPr>
            <w:tcW w:w="2414" w:type="dxa"/>
            <w:gridSpan w:val="3"/>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Cualitativa nominal dicotómica</w:t>
            </w:r>
          </w:p>
        </w:tc>
        <w:tc>
          <w:tcPr>
            <w:tcW w:w="1848" w:type="dxa"/>
            <w:tcBorders>
              <w:left w:val="single" w:sz="4" w:space="0" w:color="auto"/>
              <w:right w:val="single" w:sz="4" w:space="0" w:color="auto"/>
            </w:tcBorders>
          </w:tcPr>
          <w:p w:rsidR="00A37DBF" w:rsidRDefault="00A37DBF" w:rsidP="004D272A">
            <w:pPr>
              <w:pStyle w:val="Prrafodelista"/>
              <w:numPr>
                <w:ilvl w:val="0"/>
                <w:numId w:val="3"/>
              </w:numPr>
              <w:spacing w:line="360" w:lineRule="auto"/>
              <w:jc w:val="both"/>
              <w:rPr>
                <w:rFonts w:ascii="Arial" w:hAnsi="Arial" w:cs="Arial"/>
                <w:sz w:val="24"/>
                <w:szCs w:val="24"/>
              </w:rPr>
            </w:pPr>
            <w:r>
              <w:rPr>
                <w:rFonts w:ascii="Arial" w:hAnsi="Arial" w:cs="Arial"/>
                <w:sz w:val="24"/>
                <w:szCs w:val="24"/>
              </w:rPr>
              <w:t>Sí</w:t>
            </w:r>
          </w:p>
          <w:p w:rsidR="00A37DBF" w:rsidRDefault="00A37DBF" w:rsidP="004D272A">
            <w:pPr>
              <w:pStyle w:val="Prrafodelista"/>
              <w:numPr>
                <w:ilvl w:val="0"/>
                <w:numId w:val="3"/>
              </w:numPr>
              <w:spacing w:line="360" w:lineRule="auto"/>
              <w:jc w:val="both"/>
              <w:rPr>
                <w:rFonts w:ascii="Arial" w:hAnsi="Arial" w:cs="Arial"/>
                <w:sz w:val="24"/>
                <w:szCs w:val="24"/>
              </w:rPr>
            </w:pPr>
            <w:r>
              <w:rPr>
                <w:rFonts w:ascii="Arial" w:hAnsi="Arial" w:cs="Arial"/>
                <w:sz w:val="24"/>
                <w:szCs w:val="24"/>
              </w:rPr>
              <w:t>No</w:t>
            </w:r>
          </w:p>
        </w:tc>
        <w:tc>
          <w:tcPr>
            <w:tcW w:w="2975" w:type="dxa"/>
            <w:gridSpan w:val="4"/>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Según v</w:t>
            </w:r>
            <w:r w:rsidRPr="003272F4">
              <w:rPr>
                <w:rFonts w:ascii="Arial" w:hAnsi="Arial" w:cs="Arial"/>
                <w:sz w:val="24"/>
                <w:szCs w:val="24"/>
              </w:rPr>
              <w:t>alor máximo determinado en las primeras 24 horas de ingreso.</w:t>
            </w:r>
          </w:p>
        </w:tc>
        <w:tc>
          <w:tcPr>
            <w:tcW w:w="1699"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Frecuencia absoluta y relativa</w:t>
            </w:r>
          </w:p>
        </w:tc>
      </w:tr>
      <w:tr w:rsidR="00A37DBF" w:rsidTr="004D272A">
        <w:trPr>
          <w:trHeight w:val="1126"/>
        </w:trPr>
        <w:tc>
          <w:tcPr>
            <w:tcW w:w="2405" w:type="dxa"/>
            <w:gridSpan w:val="2"/>
            <w:tcBorders>
              <w:right w:val="single" w:sz="4" w:space="0" w:color="auto"/>
            </w:tcBorders>
          </w:tcPr>
          <w:p w:rsidR="00A37DBF" w:rsidRPr="00BF6101" w:rsidRDefault="00A37DBF" w:rsidP="004D272A">
            <w:pPr>
              <w:spacing w:line="360" w:lineRule="auto"/>
              <w:jc w:val="both"/>
              <w:rPr>
                <w:rFonts w:ascii="Arial" w:hAnsi="Arial" w:cs="Arial"/>
                <w:sz w:val="24"/>
                <w:szCs w:val="24"/>
              </w:rPr>
            </w:pPr>
            <w:r>
              <w:rPr>
                <w:rFonts w:ascii="Arial" w:hAnsi="Arial" w:cs="Arial"/>
                <w:sz w:val="24"/>
                <w:szCs w:val="24"/>
              </w:rPr>
              <w:t>Hiperpotasemia</w:t>
            </w:r>
          </w:p>
        </w:tc>
        <w:tc>
          <w:tcPr>
            <w:tcW w:w="2414" w:type="dxa"/>
            <w:gridSpan w:val="3"/>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Cualitativa nominal dicotómica</w:t>
            </w:r>
          </w:p>
        </w:tc>
        <w:tc>
          <w:tcPr>
            <w:tcW w:w="1848" w:type="dxa"/>
            <w:tcBorders>
              <w:left w:val="single" w:sz="4" w:space="0" w:color="auto"/>
              <w:right w:val="single" w:sz="4" w:space="0" w:color="auto"/>
            </w:tcBorders>
          </w:tcPr>
          <w:p w:rsidR="00A37DBF" w:rsidRDefault="00A37DBF" w:rsidP="004D272A">
            <w:pPr>
              <w:pStyle w:val="Prrafodelista"/>
              <w:numPr>
                <w:ilvl w:val="0"/>
                <w:numId w:val="3"/>
              </w:numPr>
              <w:spacing w:line="360" w:lineRule="auto"/>
              <w:jc w:val="both"/>
              <w:rPr>
                <w:rFonts w:ascii="Arial" w:hAnsi="Arial" w:cs="Arial"/>
                <w:sz w:val="24"/>
                <w:szCs w:val="24"/>
              </w:rPr>
            </w:pPr>
            <w:r>
              <w:rPr>
                <w:rFonts w:ascii="Arial" w:hAnsi="Arial" w:cs="Arial"/>
                <w:sz w:val="24"/>
                <w:szCs w:val="24"/>
              </w:rPr>
              <w:t>Sí</w:t>
            </w:r>
          </w:p>
          <w:p w:rsidR="00A37DBF" w:rsidRDefault="00A37DBF" w:rsidP="004D272A">
            <w:pPr>
              <w:pStyle w:val="Prrafodelista"/>
              <w:numPr>
                <w:ilvl w:val="0"/>
                <w:numId w:val="3"/>
              </w:numPr>
              <w:spacing w:line="360" w:lineRule="auto"/>
              <w:jc w:val="both"/>
              <w:rPr>
                <w:rFonts w:ascii="Arial" w:hAnsi="Arial" w:cs="Arial"/>
                <w:sz w:val="24"/>
                <w:szCs w:val="24"/>
              </w:rPr>
            </w:pPr>
            <w:r>
              <w:rPr>
                <w:rFonts w:ascii="Arial" w:hAnsi="Arial" w:cs="Arial"/>
                <w:sz w:val="24"/>
                <w:szCs w:val="24"/>
              </w:rPr>
              <w:t>No</w:t>
            </w:r>
          </w:p>
        </w:tc>
        <w:tc>
          <w:tcPr>
            <w:tcW w:w="2975" w:type="dxa"/>
            <w:gridSpan w:val="4"/>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Según v</w:t>
            </w:r>
            <w:r w:rsidRPr="003272F4">
              <w:rPr>
                <w:rFonts w:ascii="Arial" w:hAnsi="Arial" w:cs="Arial"/>
                <w:sz w:val="24"/>
                <w:szCs w:val="24"/>
              </w:rPr>
              <w:t>alor máximo determinado en las primeras 24 horas de ingreso.</w:t>
            </w:r>
          </w:p>
        </w:tc>
        <w:tc>
          <w:tcPr>
            <w:tcW w:w="1699"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Frecuencia absoluta y relativa</w:t>
            </w:r>
          </w:p>
        </w:tc>
      </w:tr>
      <w:tr w:rsidR="00A37DBF" w:rsidTr="004D272A">
        <w:trPr>
          <w:trHeight w:val="1126"/>
        </w:trPr>
        <w:tc>
          <w:tcPr>
            <w:tcW w:w="2405" w:type="dxa"/>
            <w:gridSpan w:val="2"/>
            <w:tcBorders>
              <w:right w:val="single" w:sz="4" w:space="0" w:color="auto"/>
            </w:tcBorders>
          </w:tcPr>
          <w:p w:rsidR="00A37DBF" w:rsidRDefault="00A37DBF" w:rsidP="004D272A">
            <w:pPr>
              <w:spacing w:line="360" w:lineRule="auto"/>
              <w:jc w:val="both"/>
              <w:rPr>
                <w:rFonts w:ascii="Arial" w:hAnsi="Arial" w:cs="Arial"/>
                <w:sz w:val="24"/>
                <w:szCs w:val="24"/>
              </w:rPr>
            </w:pPr>
            <w:r w:rsidRPr="00BF6101">
              <w:rPr>
                <w:rFonts w:ascii="Arial" w:hAnsi="Arial" w:cs="Arial"/>
                <w:sz w:val="24"/>
                <w:szCs w:val="24"/>
              </w:rPr>
              <w:t>Oligoanuria</w:t>
            </w:r>
          </w:p>
        </w:tc>
        <w:tc>
          <w:tcPr>
            <w:tcW w:w="2414" w:type="dxa"/>
            <w:gridSpan w:val="3"/>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Cualitativa nominal dicotómica</w:t>
            </w:r>
          </w:p>
        </w:tc>
        <w:tc>
          <w:tcPr>
            <w:tcW w:w="1848" w:type="dxa"/>
            <w:tcBorders>
              <w:left w:val="single" w:sz="4" w:space="0" w:color="auto"/>
              <w:right w:val="single" w:sz="4" w:space="0" w:color="auto"/>
            </w:tcBorders>
          </w:tcPr>
          <w:p w:rsidR="00A37DBF" w:rsidRDefault="00A37DBF" w:rsidP="004D272A">
            <w:pPr>
              <w:pStyle w:val="Prrafodelista"/>
              <w:numPr>
                <w:ilvl w:val="0"/>
                <w:numId w:val="3"/>
              </w:numPr>
              <w:spacing w:line="360" w:lineRule="auto"/>
              <w:jc w:val="both"/>
              <w:rPr>
                <w:rFonts w:ascii="Arial" w:hAnsi="Arial" w:cs="Arial"/>
                <w:sz w:val="24"/>
                <w:szCs w:val="24"/>
              </w:rPr>
            </w:pPr>
            <w:r>
              <w:rPr>
                <w:rFonts w:ascii="Arial" w:hAnsi="Arial" w:cs="Arial"/>
                <w:sz w:val="24"/>
                <w:szCs w:val="24"/>
              </w:rPr>
              <w:t>Sí</w:t>
            </w:r>
          </w:p>
          <w:p w:rsidR="00A37DBF" w:rsidRDefault="00A37DBF" w:rsidP="004D272A">
            <w:pPr>
              <w:pStyle w:val="Prrafodelista"/>
              <w:numPr>
                <w:ilvl w:val="0"/>
                <w:numId w:val="3"/>
              </w:numPr>
              <w:spacing w:line="360" w:lineRule="auto"/>
              <w:jc w:val="both"/>
              <w:rPr>
                <w:rFonts w:ascii="Arial" w:hAnsi="Arial" w:cs="Arial"/>
                <w:sz w:val="24"/>
                <w:szCs w:val="24"/>
              </w:rPr>
            </w:pPr>
            <w:r>
              <w:rPr>
                <w:rFonts w:ascii="Arial" w:hAnsi="Arial" w:cs="Arial"/>
                <w:sz w:val="24"/>
                <w:szCs w:val="24"/>
              </w:rPr>
              <w:t>No</w:t>
            </w:r>
          </w:p>
        </w:tc>
        <w:tc>
          <w:tcPr>
            <w:tcW w:w="2975" w:type="dxa"/>
            <w:gridSpan w:val="4"/>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Según valor del volumen urinario excretado por hora</w:t>
            </w:r>
            <w:r w:rsidR="00CB14F3">
              <w:rPr>
                <w:rFonts w:ascii="Arial" w:hAnsi="Arial" w:cs="Arial"/>
                <w:sz w:val="24"/>
                <w:szCs w:val="24"/>
              </w:rPr>
              <w:t>.</w:t>
            </w:r>
          </w:p>
        </w:tc>
        <w:tc>
          <w:tcPr>
            <w:tcW w:w="1699"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Frecuencia absoluta y relativa</w:t>
            </w:r>
          </w:p>
        </w:tc>
      </w:tr>
      <w:tr w:rsidR="00A37DBF" w:rsidTr="004D272A">
        <w:trPr>
          <w:trHeight w:val="1126"/>
        </w:trPr>
        <w:tc>
          <w:tcPr>
            <w:tcW w:w="2405" w:type="dxa"/>
            <w:gridSpan w:val="2"/>
            <w:tcBorders>
              <w:right w:val="single" w:sz="4" w:space="0" w:color="auto"/>
            </w:tcBorders>
          </w:tcPr>
          <w:p w:rsidR="00A37DBF" w:rsidRPr="00BF6101" w:rsidRDefault="00A37DBF" w:rsidP="004D272A">
            <w:pPr>
              <w:spacing w:line="360" w:lineRule="auto"/>
              <w:jc w:val="both"/>
              <w:rPr>
                <w:rFonts w:ascii="Arial" w:hAnsi="Arial" w:cs="Arial"/>
                <w:sz w:val="24"/>
                <w:szCs w:val="24"/>
              </w:rPr>
            </w:pPr>
            <w:r>
              <w:rPr>
                <w:rFonts w:ascii="Arial" w:hAnsi="Arial" w:cs="Arial"/>
                <w:sz w:val="24"/>
                <w:szCs w:val="24"/>
              </w:rPr>
              <w:t>BUN</w:t>
            </w:r>
          </w:p>
        </w:tc>
        <w:tc>
          <w:tcPr>
            <w:tcW w:w="2414" w:type="dxa"/>
            <w:gridSpan w:val="3"/>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Cuantitativa d</w:t>
            </w:r>
            <w:r w:rsidRPr="003272F4">
              <w:rPr>
                <w:rFonts w:ascii="Arial" w:hAnsi="Arial" w:cs="Arial"/>
                <w:sz w:val="24"/>
                <w:szCs w:val="24"/>
              </w:rPr>
              <w:t>iscreta</w:t>
            </w:r>
          </w:p>
        </w:tc>
        <w:tc>
          <w:tcPr>
            <w:tcW w:w="1848" w:type="dxa"/>
            <w:tcBorders>
              <w:left w:val="single" w:sz="4" w:space="0" w:color="auto"/>
              <w:right w:val="single" w:sz="4" w:space="0" w:color="auto"/>
            </w:tcBorders>
          </w:tcPr>
          <w:p w:rsidR="00A37DBF" w:rsidRDefault="00A37DBF" w:rsidP="004D272A">
            <w:pPr>
              <w:pStyle w:val="Prrafodelista"/>
              <w:spacing w:line="360" w:lineRule="auto"/>
              <w:jc w:val="both"/>
              <w:rPr>
                <w:rFonts w:ascii="Arial" w:hAnsi="Arial" w:cs="Arial"/>
                <w:sz w:val="24"/>
                <w:szCs w:val="24"/>
              </w:rPr>
            </w:pPr>
          </w:p>
        </w:tc>
        <w:tc>
          <w:tcPr>
            <w:tcW w:w="2975" w:type="dxa"/>
            <w:gridSpan w:val="4"/>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 xml:space="preserve">Valor máximo determinado en las primeras 24 horas de </w:t>
            </w:r>
            <w:r>
              <w:rPr>
                <w:rFonts w:ascii="Arial" w:hAnsi="Arial" w:cs="Arial"/>
                <w:sz w:val="24"/>
                <w:szCs w:val="24"/>
              </w:rPr>
              <w:lastRenderedPageBreak/>
              <w:t>ingreso.</w:t>
            </w:r>
          </w:p>
        </w:tc>
        <w:tc>
          <w:tcPr>
            <w:tcW w:w="1699"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lastRenderedPageBreak/>
              <w:t>Media y desviación estándar</w:t>
            </w:r>
          </w:p>
        </w:tc>
      </w:tr>
      <w:tr w:rsidR="00A37DBF" w:rsidTr="004D272A">
        <w:trPr>
          <w:trHeight w:val="1126"/>
        </w:trPr>
        <w:tc>
          <w:tcPr>
            <w:tcW w:w="2405" w:type="dxa"/>
            <w:gridSpan w:val="2"/>
            <w:tcBorders>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lastRenderedPageBreak/>
              <w:t>Creatinina</w:t>
            </w:r>
          </w:p>
        </w:tc>
        <w:tc>
          <w:tcPr>
            <w:tcW w:w="2414" w:type="dxa"/>
            <w:gridSpan w:val="3"/>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Cuantitativa d</w:t>
            </w:r>
            <w:r w:rsidRPr="003272F4">
              <w:rPr>
                <w:rFonts w:ascii="Arial" w:hAnsi="Arial" w:cs="Arial"/>
                <w:sz w:val="24"/>
                <w:szCs w:val="24"/>
              </w:rPr>
              <w:t>iscreta</w:t>
            </w:r>
          </w:p>
        </w:tc>
        <w:tc>
          <w:tcPr>
            <w:tcW w:w="1848" w:type="dxa"/>
            <w:tcBorders>
              <w:left w:val="single" w:sz="4" w:space="0" w:color="auto"/>
              <w:right w:val="single" w:sz="4" w:space="0" w:color="auto"/>
            </w:tcBorders>
          </w:tcPr>
          <w:p w:rsidR="00A37DBF" w:rsidRDefault="00A37DBF" w:rsidP="004D272A">
            <w:pPr>
              <w:pStyle w:val="Prrafodelista"/>
              <w:spacing w:line="360" w:lineRule="auto"/>
              <w:jc w:val="both"/>
              <w:rPr>
                <w:rFonts w:ascii="Arial" w:hAnsi="Arial" w:cs="Arial"/>
                <w:sz w:val="24"/>
                <w:szCs w:val="24"/>
              </w:rPr>
            </w:pPr>
          </w:p>
        </w:tc>
        <w:tc>
          <w:tcPr>
            <w:tcW w:w="2975" w:type="dxa"/>
            <w:gridSpan w:val="4"/>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Valor máximo medido en las primeras 24 horas de ingreso.</w:t>
            </w:r>
          </w:p>
        </w:tc>
        <w:tc>
          <w:tcPr>
            <w:tcW w:w="1699"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Media y desviación estándar</w:t>
            </w:r>
          </w:p>
        </w:tc>
      </w:tr>
      <w:tr w:rsidR="00A37DBF" w:rsidRPr="008A5246" w:rsidTr="004D272A">
        <w:trPr>
          <w:trHeight w:val="1126"/>
        </w:trPr>
        <w:tc>
          <w:tcPr>
            <w:tcW w:w="2405" w:type="dxa"/>
            <w:gridSpan w:val="2"/>
            <w:tcBorders>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Cociente urea/creatinina</w:t>
            </w:r>
          </w:p>
        </w:tc>
        <w:tc>
          <w:tcPr>
            <w:tcW w:w="2414" w:type="dxa"/>
            <w:gridSpan w:val="3"/>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Cuantitativa continua</w:t>
            </w:r>
          </w:p>
        </w:tc>
        <w:tc>
          <w:tcPr>
            <w:tcW w:w="1848" w:type="dxa"/>
            <w:tcBorders>
              <w:left w:val="single" w:sz="4" w:space="0" w:color="auto"/>
              <w:right w:val="single" w:sz="4" w:space="0" w:color="auto"/>
            </w:tcBorders>
          </w:tcPr>
          <w:p w:rsidR="00A37DBF" w:rsidRDefault="00A37DBF" w:rsidP="004D272A">
            <w:pPr>
              <w:pStyle w:val="Prrafodelista"/>
              <w:spacing w:line="360" w:lineRule="auto"/>
              <w:jc w:val="both"/>
              <w:rPr>
                <w:rFonts w:ascii="Arial" w:hAnsi="Arial" w:cs="Arial"/>
                <w:sz w:val="24"/>
                <w:szCs w:val="24"/>
              </w:rPr>
            </w:pPr>
          </w:p>
        </w:tc>
        <w:tc>
          <w:tcPr>
            <w:tcW w:w="2975" w:type="dxa"/>
            <w:gridSpan w:val="4"/>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Para calcular el cociente urea/creatinina se utilizó la siguiente fórmula:</w:t>
            </w:r>
          </w:p>
          <w:p w:rsidR="00A37DBF" w:rsidRDefault="00A37DBF" w:rsidP="004D272A">
            <w:pPr>
              <w:spacing w:line="360" w:lineRule="auto"/>
              <w:jc w:val="both"/>
              <w:rPr>
                <w:rFonts w:ascii="Arial" w:hAnsi="Arial" w:cs="Arial"/>
                <w:sz w:val="24"/>
                <w:szCs w:val="24"/>
              </w:rPr>
            </w:pPr>
            <w:r>
              <w:rPr>
                <w:rFonts w:ascii="Arial" w:hAnsi="Arial" w:cs="Arial"/>
                <w:sz w:val="24"/>
                <w:szCs w:val="24"/>
              </w:rPr>
              <w:t>Cociente urea/creatinina</w:t>
            </w:r>
          </w:p>
          <w:p w:rsidR="00A37DBF" w:rsidRPr="008A5246" w:rsidRDefault="00A37DBF" w:rsidP="004D272A">
            <w:pPr>
              <w:spacing w:line="360" w:lineRule="auto"/>
              <w:jc w:val="both"/>
              <w:rPr>
                <w:rFonts w:ascii="Arial" w:hAnsi="Arial" w:cs="Arial"/>
                <w:sz w:val="24"/>
                <w:szCs w:val="24"/>
              </w:rPr>
            </w:pPr>
            <w:proofErr w:type="gramStart"/>
            <w:r w:rsidRPr="008A5246">
              <w:rPr>
                <w:rFonts w:ascii="Arial" w:hAnsi="Arial" w:cs="Arial"/>
                <w:sz w:val="24"/>
                <w:szCs w:val="24"/>
              </w:rPr>
              <w:t>={</w:t>
            </w:r>
            <w:proofErr w:type="gramEnd"/>
            <w:r w:rsidRPr="008A5246">
              <w:rPr>
                <w:rFonts w:ascii="Arial" w:hAnsi="Arial" w:cs="Arial"/>
                <w:sz w:val="24"/>
                <w:szCs w:val="24"/>
              </w:rPr>
              <w:t>(urea</w:t>
            </w:r>
            <w:r w:rsidRPr="008A5246">
              <w:t xml:space="preserve"> </w:t>
            </w:r>
            <w:r w:rsidRPr="008A5246">
              <w:rPr>
                <w:rFonts w:ascii="Arial" w:hAnsi="Arial" w:cs="Arial"/>
                <w:sz w:val="24"/>
                <w:szCs w:val="24"/>
              </w:rPr>
              <w:t>[mmol/l] x 6)/2.14} / (creatinina [mmol/l] /88.4).</w:t>
            </w:r>
          </w:p>
          <w:p w:rsidR="00A37DBF" w:rsidRPr="008A5246" w:rsidRDefault="00A37DBF" w:rsidP="004D272A">
            <w:pPr>
              <w:spacing w:line="360" w:lineRule="auto"/>
              <w:jc w:val="both"/>
              <w:rPr>
                <w:rFonts w:ascii="Arial" w:hAnsi="Arial" w:cs="Arial"/>
                <w:sz w:val="24"/>
                <w:szCs w:val="24"/>
              </w:rPr>
            </w:pPr>
            <w:r w:rsidRPr="008A5246">
              <w:rPr>
                <w:rFonts w:ascii="Arial" w:hAnsi="Arial" w:cs="Arial"/>
                <w:sz w:val="24"/>
                <w:szCs w:val="24"/>
              </w:rPr>
              <w:t>Se utiliz</w:t>
            </w:r>
            <w:r>
              <w:rPr>
                <w:rFonts w:ascii="Arial" w:hAnsi="Arial" w:cs="Arial"/>
                <w:sz w:val="24"/>
                <w:szCs w:val="24"/>
              </w:rPr>
              <w:t>ó el valor máximo de urea y creatinina en las primeras 24 horas de ingreso.</w:t>
            </w:r>
          </w:p>
        </w:tc>
        <w:tc>
          <w:tcPr>
            <w:tcW w:w="1699" w:type="dxa"/>
            <w:gridSpan w:val="2"/>
            <w:tcBorders>
              <w:left w:val="single" w:sz="4" w:space="0" w:color="auto"/>
            </w:tcBorders>
          </w:tcPr>
          <w:p w:rsidR="00A37DBF" w:rsidRPr="008A5246" w:rsidRDefault="00A37DBF" w:rsidP="004D272A">
            <w:pPr>
              <w:spacing w:line="360" w:lineRule="auto"/>
              <w:jc w:val="both"/>
              <w:rPr>
                <w:rFonts w:ascii="Arial" w:hAnsi="Arial" w:cs="Arial"/>
                <w:sz w:val="24"/>
                <w:szCs w:val="24"/>
              </w:rPr>
            </w:pPr>
            <w:r>
              <w:rPr>
                <w:rFonts w:ascii="Arial" w:hAnsi="Arial" w:cs="Arial"/>
                <w:sz w:val="24"/>
                <w:szCs w:val="24"/>
              </w:rPr>
              <w:t>Mediana y tertiles</w:t>
            </w:r>
          </w:p>
        </w:tc>
      </w:tr>
      <w:tr w:rsidR="00A37DBF" w:rsidRPr="008A5246" w:rsidTr="004D272A">
        <w:trPr>
          <w:trHeight w:val="248"/>
        </w:trPr>
        <w:tc>
          <w:tcPr>
            <w:tcW w:w="11341" w:type="dxa"/>
            <w:gridSpan w:val="12"/>
          </w:tcPr>
          <w:p w:rsidR="00A37DBF" w:rsidRPr="003C3E52" w:rsidRDefault="00A37DBF" w:rsidP="004D272A">
            <w:pPr>
              <w:spacing w:line="360" w:lineRule="auto"/>
              <w:jc w:val="both"/>
              <w:rPr>
                <w:rFonts w:ascii="Arial" w:hAnsi="Arial" w:cs="Arial"/>
                <w:b/>
                <w:sz w:val="24"/>
                <w:szCs w:val="24"/>
              </w:rPr>
            </w:pPr>
            <w:r w:rsidRPr="003C3E52">
              <w:rPr>
                <w:rFonts w:ascii="Arial" w:hAnsi="Arial" w:cs="Arial"/>
                <w:b/>
                <w:sz w:val="24"/>
                <w:szCs w:val="24"/>
              </w:rPr>
              <w:t>Tipo de tratamiento recibido</w:t>
            </w:r>
          </w:p>
        </w:tc>
      </w:tr>
      <w:tr w:rsidR="00A37DBF" w:rsidRPr="008A5246" w:rsidTr="004D272A">
        <w:trPr>
          <w:trHeight w:val="1246"/>
        </w:trPr>
        <w:tc>
          <w:tcPr>
            <w:tcW w:w="2405" w:type="dxa"/>
            <w:gridSpan w:val="2"/>
            <w:tcBorders>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Tratamiento conservador</w:t>
            </w:r>
          </w:p>
        </w:tc>
        <w:tc>
          <w:tcPr>
            <w:tcW w:w="2414" w:type="dxa"/>
            <w:gridSpan w:val="3"/>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Cualitativa nominal dicotómica</w:t>
            </w:r>
          </w:p>
        </w:tc>
        <w:tc>
          <w:tcPr>
            <w:tcW w:w="1848" w:type="dxa"/>
            <w:tcBorders>
              <w:left w:val="single" w:sz="4" w:space="0" w:color="auto"/>
              <w:right w:val="single" w:sz="4" w:space="0" w:color="auto"/>
            </w:tcBorders>
          </w:tcPr>
          <w:p w:rsidR="00A37DBF" w:rsidRDefault="00A37DBF" w:rsidP="004D272A">
            <w:pPr>
              <w:pStyle w:val="Prrafodelista"/>
              <w:numPr>
                <w:ilvl w:val="0"/>
                <w:numId w:val="4"/>
              </w:numPr>
              <w:spacing w:line="360" w:lineRule="auto"/>
              <w:jc w:val="both"/>
              <w:rPr>
                <w:rFonts w:ascii="Arial" w:hAnsi="Arial" w:cs="Arial"/>
                <w:sz w:val="24"/>
                <w:szCs w:val="24"/>
              </w:rPr>
            </w:pPr>
            <w:r>
              <w:rPr>
                <w:rFonts w:ascii="Arial" w:hAnsi="Arial" w:cs="Arial"/>
                <w:sz w:val="24"/>
                <w:szCs w:val="24"/>
              </w:rPr>
              <w:t>Sí</w:t>
            </w:r>
          </w:p>
          <w:p w:rsidR="00A37DBF" w:rsidRPr="00817412" w:rsidRDefault="00A37DBF" w:rsidP="004D272A">
            <w:pPr>
              <w:pStyle w:val="Prrafodelista"/>
              <w:numPr>
                <w:ilvl w:val="0"/>
                <w:numId w:val="4"/>
              </w:numPr>
              <w:spacing w:line="360" w:lineRule="auto"/>
              <w:jc w:val="both"/>
              <w:rPr>
                <w:rFonts w:ascii="Arial" w:hAnsi="Arial" w:cs="Arial"/>
                <w:sz w:val="24"/>
                <w:szCs w:val="24"/>
              </w:rPr>
            </w:pPr>
            <w:r>
              <w:rPr>
                <w:rFonts w:ascii="Arial" w:hAnsi="Arial" w:cs="Arial"/>
                <w:sz w:val="24"/>
                <w:szCs w:val="24"/>
              </w:rPr>
              <w:t>No</w:t>
            </w:r>
          </w:p>
        </w:tc>
        <w:tc>
          <w:tcPr>
            <w:tcW w:w="2975" w:type="dxa"/>
            <w:gridSpan w:val="4"/>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Según el paciente recibió tratamiento conservador o no.</w:t>
            </w:r>
          </w:p>
        </w:tc>
        <w:tc>
          <w:tcPr>
            <w:tcW w:w="1699"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Frecuencia absoluta y relativa</w:t>
            </w:r>
          </w:p>
        </w:tc>
      </w:tr>
      <w:tr w:rsidR="00A37DBF" w:rsidRPr="008A5246" w:rsidTr="004D272A">
        <w:trPr>
          <w:trHeight w:val="1246"/>
        </w:trPr>
        <w:tc>
          <w:tcPr>
            <w:tcW w:w="2405" w:type="dxa"/>
            <w:gridSpan w:val="2"/>
            <w:tcBorders>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Tratamiento hemodialítico</w:t>
            </w:r>
          </w:p>
        </w:tc>
        <w:tc>
          <w:tcPr>
            <w:tcW w:w="2414" w:type="dxa"/>
            <w:gridSpan w:val="3"/>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Cualitativa nominal dicotómica</w:t>
            </w:r>
          </w:p>
        </w:tc>
        <w:tc>
          <w:tcPr>
            <w:tcW w:w="1848" w:type="dxa"/>
            <w:tcBorders>
              <w:left w:val="single" w:sz="4" w:space="0" w:color="auto"/>
              <w:right w:val="single" w:sz="4" w:space="0" w:color="auto"/>
            </w:tcBorders>
          </w:tcPr>
          <w:p w:rsidR="00A37DBF" w:rsidRDefault="00A37DBF" w:rsidP="004D272A">
            <w:pPr>
              <w:pStyle w:val="Prrafodelista"/>
              <w:numPr>
                <w:ilvl w:val="0"/>
                <w:numId w:val="4"/>
              </w:numPr>
              <w:spacing w:line="360" w:lineRule="auto"/>
              <w:jc w:val="both"/>
              <w:rPr>
                <w:rFonts w:ascii="Arial" w:hAnsi="Arial" w:cs="Arial"/>
                <w:sz w:val="24"/>
                <w:szCs w:val="24"/>
              </w:rPr>
            </w:pPr>
            <w:r>
              <w:rPr>
                <w:rFonts w:ascii="Arial" w:hAnsi="Arial" w:cs="Arial"/>
                <w:sz w:val="24"/>
                <w:szCs w:val="24"/>
              </w:rPr>
              <w:t>Sí</w:t>
            </w:r>
          </w:p>
          <w:p w:rsidR="00A37DBF" w:rsidRPr="00817412" w:rsidRDefault="00A37DBF" w:rsidP="004D272A">
            <w:pPr>
              <w:pStyle w:val="Prrafodelista"/>
              <w:numPr>
                <w:ilvl w:val="0"/>
                <w:numId w:val="4"/>
              </w:numPr>
              <w:spacing w:line="360" w:lineRule="auto"/>
              <w:jc w:val="both"/>
              <w:rPr>
                <w:rFonts w:ascii="Arial" w:hAnsi="Arial" w:cs="Arial"/>
                <w:sz w:val="24"/>
                <w:szCs w:val="24"/>
              </w:rPr>
            </w:pPr>
            <w:r>
              <w:rPr>
                <w:rFonts w:ascii="Arial" w:hAnsi="Arial" w:cs="Arial"/>
                <w:sz w:val="24"/>
                <w:szCs w:val="24"/>
              </w:rPr>
              <w:t>No</w:t>
            </w:r>
          </w:p>
        </w:tc>
        <w:tc>
          <w:tcPr>
            <w:tcW w:w="2975" w:type="dxa"/>
            <w:gridSpan w:val="4"/>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Según el paciente recibió tratamiento hemodialítico o no.</w:t>
            </w:r>
          </w:p>
        </w:tc>
        <w:tc>
          <w:tcPr>
            <w:tcW w:w="1699"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Frecuencia absoluta y relativa</w:t>
            </w:r>
          </w:p>
        </w:tc>
      </w:tr>
      <w:tr w:rsidR="00A37DBF" w:rsidRPr="008A5246" w:rsidTr="004D272A">
        <w:trPr>
          <w:trHeight w:val="431"/>
        </w:trPr>
        <w:tc>
          <w:tcPr>
            <w:tcW w:w="11341" w:type="dxa"/>
            <w:gridSpan w:val="12"/>
          </w:tcPr>
          <w:p w:rsidR="00A37DBF" w:rsidRPr="003C3E52" w:rsidRDefault="00A37DBF" w:rsidP="004D272A">
            <w:pPr>
              <w:spacing w:line="360" w:lineRule="auto"/>
              <w:jc w:val="both"/>
              <w:rPr>
                <w:rFonts w:ascii="Arial" w:hAnsi="Arial" w:cs="Arial"/>
                <w:b/>
                <w:sz w:val="24"/>
                <w:szCs w:val="24"/>
              </w:rPr>
            </w:pPr>
            <w:r w:rsidRPr="003C3E52">
              <w:rPr>
                <w:rFonts w:ascii="Arial" w:hAnsi="Arial" w:cs="Arial"/>
                <w:b/>
                <w:sz w:val="24"/>
                <w:szCs w:val="24"/>
              </w:rPr>
              <w:t>Estado al culminar el estudio</w:t>
            </w:r>
          </w:p>
        </w:tc>
      </w:tr>
      <w:tr w:rsidR="00A37DBF" w:rsidRPr="008A5246" w:rsidTr="004D272A">
        <w:trPr>
          <w:trHeight w:val="431"/>
        </w:trPr>
        <w:tc>
          <w:tcPr>
            <w:tcW w:w="2429" w:type="dxa"/>
            <w:gridSpan w:val="3"/>
            <w:tcBorders>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Estado al culminar el estudio</w:t>
            </w:r>
          </w:p>
        </w:tc>
        <w:tc>
          <w:tcPr>
            <w:tcW w:w="2390" w:type="dxa"/>
            <w:gridSpan w:val="2"/>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Cualitativa nominal dicotómica</w:t>
            </w:r>
          </w:p>
        </w:tc>
        <w:tc>
          <w:tcPr>
            <w:tcW w:w="1986" w:type="dxa"/>
            <w:gridSpan w:val="2"/>
            <w:tcBorders>
              <w:left w:val="single" w:sz="4" w:space="0" w:color="auto"/>
              <w:right w:val="single" w:sz="4" w:space="0" w:color="auto"/>
            </w:tcBorders>
          </w:tcPr>
          <w:p w:rsidR="00A37DBF" w:rsidRDefault="00A37DBF" w:rsidP="004D272A">
            <w:pPr>
              <w:pStyle w:val="Prrafodelista"/>
              <w:numPr>
                <w:ilvl w:val="0"/>
                <w:numId w:val="5"/>
              </w:numPr>
              <w:spacing w:line="360" w:lineRule="auto"/>
              <w:jc w:val="both"/>
              <w:rPr>
                <w:rFonts w:ascii="Arial" w:hAnsi="Arial" w:cs="Arial"/>
                <w:sz w:val="24"/>
                <w:szCs w:val="24"/>
              </w:rPr>
            </w:pPr>
            <w:r>
              <w:rPr>
                <w:rFonts w:ascii="Arial" w:hAnsi="Arial" w:cs="Arial"/>
                <w:sz w:val="24"/>
                <w:szCs w:val="24"/>
              </w:rPr>
              <w:t>Vivo</w:t>
            </w:r>
          </w:p>
          <w:p w:rsidR="00A37DBF" w:rsidRPr="00817412" w:rsidRDefault="00A37DBF" w:rsidP="004D272A">
            <w:pPr>
              <w:pStyle w:val="Prrafodelista"/>
              <w:numPr>
                <w:ilvl w:val="0"/>
                <w:numId w:val="5"/>
              </w:numPr>
              <w:spacing w:line="360" w:lineRule="auto"/>
              <w:jc w:val="both"/>
              <w:rPr>
                <w:rFonts w:ascii="Arial" w:hAnsi="Arial" w:cs="Arial"/>
                <w:sz w:val="24"/>
                <w:szCs w:val="24"/>
              </w:rPr>
            </w:pPr>
            <w:r>
              <w:rPr>
                <w:rFonts w:ascii="Arial" w:hAnsi="Arial" w:cs="Arial"/>
                <w:sz w:val="24"/>
                <w:szCs w:val="24"/>
              </w:rPr>
              <w:t>Fallecido</w:t>
            </w:r>
          </w:p>
        </w:tc>
        <w:tc>
          <w:tcPr>
            <w:tcW w:w="2837" w:type="dxa"/>
            <w:gridSpan w:val="3"/>
            <w:tcBorders>
              <w:left w:val="single" w:sz="4" w:space="0" w:color="auto"/>
              <w:righ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Según el estado que presentó el paciente al egreso hospitalario.</w:t>
            </w:r>
          </w:p>
        </w:tc>
        <w:tc>
          <w:tcPr>
            <w:tcW w:w="1699" w:type="dxa"/>
            <w:gridSpan w:val="2"/>
            <w:tcBorders>
              <w:left w:val="single" w:sz="4" w:space="0" w:color="auto"/>
            </w:tcBorders>
          </w:tcPr>
          <w:p w:rsidR="00A37DBF" w:rsidRDefault="00A37DBF" w:rsidP="004D272A">
            <w:pPr>
              <w:spacing w:line="360" w:lineRule="auto"/>
              <w:jc w:val="both"/>
              <w:rPr>
                <w:rFonts w:ascii="Arial" w:hAnsi="Arial" w:cs="Arial"/>
                <w:sz w:val="24"/>
                <w:szCs w:val="24"/>
              </w:rPr>
            </w:pPr>
            <w:r>
              <w:rPr>
                <w:rFonts w:ascii="Arial" w:hAnsi="Arial" w:cs="Arial"/>
                <w:sz w:val="24"/>
                <w:szCs w:val="24"/>
              </w:rPr>
              <w:t>Frecuencia absoluta y relativa</w:t>
            </w:r>
          </w:p>
        </w:tc>
      </w:tr>
    </w:tbl>
    <w:p w:rsidR="00A37DBF" w:rsidRDefault="00A37DBF" w:rsidP="00A37DBF"/>
    <w:p w:rsidR="00A37DBF" w:rsidRPr="00BB1AE4" w:rsidRDefault="00A37DBF" w:rsidP="00A37DBF">
      <w:pPr>
        <w:spacing w:line="360" w:lineRule="auto"/>
        <w:jc w:val="both"/>
        <w:rPr>
          <w:rFonts w:ascii="Arial" w:hAnsi="Arial" w:cs="Arial"/>
          <w:sz w:val="24"/>
          <w:szCs w:val="24"/>
        </w:rPr>
      </w:pPr>
      <w:r w:rsidRPr="00D93AB9">
        <w:rPr>
          <w:rFonts w:ascii="Arial" w:hAnsi="Arial" w:cs="Arial"/>
          <w:sz w:val="24"/>
          <w:szCs w:val="24"/>
        </w:rPr>
        <w:t xml:space="preserve">Se consideró muerte </w:t>
      </w:r>
      <w:r>
        <w:rPr>
          <w:rFonts w:ascii="Arial" w:hAnsi="Arial" w:cs="Arial"/>
          <w:sz w:val="24"/>
          <w:szCs w:val="24"/>
        </w:rPr>
        <w:t xml:space="preserve">a corto plazo a aquella que ocurrió dentro de las primeras 96 horas </w:t>
      </w:r>
      <w:r w:rsidRPr="00D93AB9">
        <w:rPr>
          <w:rFonts w:ascii="Arial" w:hAnsi="Arial" w:cs="Arial"/>
          <w:sz w:val="24"/>
          <w:szCs w:val="24"/>
        </w:rPr>
        <w:t>de estadía hospitalaria</w:t>
      </w:r>
      <w:r>
        <w:rPr>
          <w:rFonts w:ascii="Arial" w:hAnsi="Arial" w:cs="Arial"/>
          <w:sz w:val="24"/>
          <w:szCs w:val="24"/>
        </w:rPr>
        <w:t>,</w:t>
      </w:r>
      <w:r w:rsidRPr="00D93AB9">
        <w:rPr>
          <w:rFonts w:ascii="Arial" w:hAnsi="Arial" w:cs="Arial"/>
          <w:sz w:val="24"/>
          <w:szCs w:val="24"/>
        </w:rPr>
        <w:t xml:space="preserve"> considerada biológica, de carácter irreversible</w:t>
      </w:r>
      <w:r>
        <w:rPr>
          <w:rFonts w:ascii="Arial" w:hAnsi="Arial" w:cs="Arial"/>
          <w:sz w:val="24"/>
          <w:szCs w:val="24"/>
        </w:rPr>
        <w:t>.</w:t>
      </w:r>
    </w:p>
    <w:p w:rsidR="00A37DBF" w:rsidRDefault="00A37DBF" w:rsidP="00A37DBF">
      <w:pPr>
        <w:rPr>
          <w:rFonts w:ascii="Arial" w:hAnsi="Arial" w:cs="Arial"/>
          <w:b/>
          <w:sz w:val="24"/>
          <w:szCs w:val="24"/>
          <w:u w:val="single"/>
        </w:rPr>
      </w:pPr>
      <w:r w:rsidRPr="00311C0D">
        <w:rPr>
          <w:rFonts w:ascii="Arial" w:hAnsi="Arial" w:cs="Arial"/>
          <w:b/>
          <w:sz w:val="24"/>
          <w:szCs w:val="24"/>
          <w:u w:val="single"/>
        </w:rPr>
        <w:lastRenderedPageBreak/>
        <w:t>Métodos e instrumentos de recolección de datos:</w:t>
      </w:r>
    </w:p>
    <w:p w:rsidR="00A95C5D" w:rsidRDefault="00A37DBF" w:rsidP="00A37DBF">
      <w:pPr>
        <w:spacing w:line="360" w:lineRule="auto"/>
        <w:jc w:val="both"/>
        <w:rPr>
          <w:rFonts w:ascii="Arial" w:hAnsi="Arial" w:cs="Arial"/>
          <w:sz w:val="24"/>
          <w:szCs w:val="24"/>
        </w:rPr>
      </w:pPr>
      <w:r w:rsidRPr="00311C0D">
        <w:rPr>
          <w:rFonts w:ascii="Arial" w:hAnsi="Arial" w:cs="Arial"/>
          <w:sz w:val="24"/>
          <w:szCs w:val="24"/>
        </w:rPr>
        <w:t xml:space="preserve">Para la elaboración de la investigación se utilizaron los métodos de análisis y síntesis para la revisión bibliográfica referente al tema en cuestión, la cual se realizó desde el momento mismo en que se planificó el estudio y consultando la bibliografía nacional e internacional más actualizada disponible sobre el tema en la biblioteca de la </w:t>
      </w:r>
      <w:r>
        <w:rPr>
          <w:rFonts w:ascii="Arial" w:hAnsi="Arial" w:cs="Arial"/>
          <w:sz w:val="24"/>
          <w:szCs w:val="24"/>
        </w:rPr>
        <w:t>Universidad</w:t>
      </w:r>
      <w:r w:rsidRPr="00311C0D">
        <w:rPr>
          <w:rFonts w:ascii="Arial" w:hAnsi="Arial" w:cs="Arial"/>
          <w:sz w:val="24"/>
          <w:szCs w:val="24"/>
        </w:rPr>
        <w:t xml:space="preserve"> de Ciencias Médicas </w:t>
      </w:r>
      <w:r>
        <w:rPr>
          <w:rFonts w:ascii="Arial" w:hAnsi="Arial" w:cs="Arial"/>
          <w:sz w:val="24"/>
          <w:szCs w:val="24"/>
        </w:rPr>
        <w:t>“Zoilo Enrique Marinello Vidaurreta” de Las Tunas</w:t>
      </w:r>
      <w:r w:rsidRPr="00311C0D">
        <w:rPr>
          <w:rFonts w:ascii="Arial" w:hAnsi="Arial" w:cs="Arial"/>
          <w:sz w:val="24"/>
          <w:szCs w:val="24"/>
        </w:rPr>
        <w:t>, destacándose la utilización de revistas y publicaciones en Internet.</w:t>
      </w:r>
      <w:r>
        <w:rPr>
          <w:rFonts w:ascii="Arial" w:hAnsi="Arial" w:cs="Arial"/>
          <w:sz w:val="24"/>
          <w:szCs w:val="24"/>
        </w:rPr>
        <w:t xml:space="preserve"> </w:t>
      </w:r>
    </w:p>
    <w:p w:rsidR="00A95C5D" w:rsidRDefault="00A37DBF" w:rsidP="00A37DBF">
      <w:pPr>
        <w:spacing w:line="360" w:lineRule="auto"/>
        <w:jc w:val="both"/>
        <w:rPr>
          <w:rFonts w:ascii="Arial" w:hAnsi="Arial" w:cs="Arial"/>
          <w:sz w:val="24"/>
          <w:szCs w:val="24"/>
        </w:rPr>
      </w:pPr>
      <w:r w:rsidRPr="005866F5">
        <w:rPr>
          <w:rFonts w:ascii="Arial" w:hAnsi="Arial" w:cs="Arial"/>
          <w:sz w:val="24"/>
          <w:szCs w:val="24"/>
        </w:rPr>
        <w:t xml:space="preserve">La bibliografía se acotó por el método Vancouver. </w:t>
      </w:r>
      <w:r>
        <w:rPr>
          <w:rFonts w:ascii="Arial" w:hAnsi="Arial" w:cs="Arial"/>
          <w:sz w:val="24"/>
          <w:szCs w:val="24"/>
        </w:rPr>
        <w:t xml:space="preserve"> </w:t>
      </w:r>
      <w:r w:rsidRPr="00311C0D">
        <w:rPr>
          <w:rFonts w:ascii="Arial" w:hAnsi="Arial" w:cs="Arial"/>
          <w:sz w:val="24"/>
          <w:szCs w:val="24"/>
        </w:rPr>
        <w:t>La recogida de la información representa un paso importante, pues solamente si los datos recopilados están exentos de errores, las conclusiones que de ellos se deriven tendrán validez científica. Por tal motivo se le concedió especial importancia al enfoque que se hizo del problema, al tipo de estudio, al objetivo trazado y a las variables estudiadas</w:t>
      </w:r>
      <w:r>
        <w:rPr>
          <w:rFonts w:ascii="Arial" w:hAnsi="Arial" w:cs="Arial"/>
          <w:sz w:val="24"/>
          <w:szCs w:val="24"/>
        </w:rPr>
        <w:t xml:space="preserve">. Se coordinó con el Departamento de Archivo y Registros médicos del Hospital General Docente: “Dr. Ernesto Guevara de la Serna, y se procedió a la revisión exhaustiva de las historias clínicas de los pacientes. </w:t>
      </w:r>
    </w:p>
    <w:p w:rsidR="00CB14F3" w:rsidRPr="00CB14F3" w:rsidRDefault="00A37DBF" w:rsidP="00A37DBF">
      <w:pPr>
        <w:spacing w:line="360" w:lineRule="auto"/>
        <w:jc w:val="both"/>
        <w:rPr>
          <w:rFonts w:ascii="Arial" w:hAnsi="Arial" w:cs="Arial"/>
          <w:sz w:val="24"/>
          <w:szCs w:val="24"/>
        </w:rPr>
      </w:pPr>
      <w:r>
        <w:rPr>
          <w:rFonts w:ascii="Arial" w:hAnsi="Arial" w:cs="Arial"/>
          <w:sz w:val="24"/>
          <w:szCs w:val="24"/>
        </w:rPr>
        <w:t xml:space="preserve">La ocurrencia o no del </w:t>
      </w:r>
      <w:r w:rsidRPr="00451F4E">
        <w:rPr>
          <w:rFonts w:ascii="Arial" w:hAnsi="Arial" w:cs="Arial"/>
          <w:b/>
          <w:sz w:val="24"/>
          <w:szCs w:val="24"/>
        </w:rPr>
        <w:t>evento</w:t>
      </w:r>
      <w:r>
        <w:rPr>
          <w:rFonts w:ascii="Arial" w:hAnsi="Arial" w:cs="Arial"/>
          <w:b/>
          <w:sz w:val="24"/>
          <w:szCs w:val="24"/>
        </w:rPr>
        <w:t xml:space="preserve"> </w:t>
      </w:r>
      <w:r>
        <w:rPr>
          <w:rFonts w:ascii="Arial" w:hAnsi="Arial" w:cs="Arial"/>
          <w:sz w:val="24"/>
          <w:szCs w:val="24"/>
        </w:rPr>
        <w:t xml:space="preserve">se obtuvo de la base de datos del Servicio de Nefrología. Para la recogida de la información se elaboró una planilla de recolección de datos (Ver anexo #2). </w:t>
      </w:r>
    </w:p>
    <w:p w:rsidR="00A37DBF" w:rsidRDefault="00A37DBF" w:rsidP="00A37DBF">
      <w:pPr>
        <w:spacing w:line="360" w:lineRule="auto"/>
        <w:jc w:val="both"/>
        <w:rPr>
          <w:rFonts w:ascii="Arial" w:hAnsi="Arial" w:cs="Arial"/>
          <w:sz w:val="24"/>
          <w:szCs w:val="24"/>
        </w:rPr>
      </w:pPr>
      <w:r w:rsidRPr="00311C0D">
        <w:rPr>
          <w:rFonts w:ascii="Arial" w:hAnsi="Arial" w:cs="Arial"/>
          <w:b/>
          <w:sz w:val="24"/>
          <w:szCs w:val="24"/>
          <w:u w:val="single"/>
        </w:rPr>
        <w:t>Técnicas y procedimientos estadísticos:</w:t>
      </w:r>
    </w:p>
    <w:p w:rsidR="0017417D" w:rsidRDefault="00A37DBF" w:rsidP="00A37DBF">
      <w:pPr>
        <w:spacing w:line="360" w:lineRule="auto"/>
        <w:jc w:val="both"/>
        <w:rPr>
          <w:rFonts w:ascii="Arial" w:hAnsi="Arial" w:cs="Arial"/>
          <w:sz w:val="24"/>
          <w:szCs w:val="24"/>
        </w:rPr>
      </w:pPr>
      <w:r>
        <w:rPr>
          <w:rFonts w:ascii="Arial" w:hAnsi="Arial" w:cs="Arial"/>
          <w:sz w:val="24"/>
          <w:szCs w:val="24"/>
        </w:rPr>
        <w:t xml:space="preserve">Los datos obtenidos de las historias clínicas </w:t>
      </w:r>
      <w:r w:rsidR="00CB14F3">
        <w:rPr>
          <w:rFonts w:ascii="Arial" w:hAnsi="Arial" w:cs="Arial"/>
          <w:sz w:val="24"/>
          <w:szCs w:val="24"/>
        </w:rPr>
        <w:t xml:space="preserve">y la planilla de recolección de datos </w:t>
      </w:r>
      <w:r>
        <w:rPr>
          <w:rFonts w:ascii="Arial" w:hAnsi="Arial" w:cs="Arial"/>
          <w:sz w:val="24"/>
          <w:szCs w:val="24"/>
        </w:rPr>
        <w:t xml:space="preserve">fueron almacenados y procesados en el paquete estadístico SPSS versión 20 para Windows. Los pacientes fueron </w:t>
      </w:r>
      <w:r w:rsidR="0017417D">
        <w:rPr>
          <w:rFonts w:ascii="Arial" w:hAnsi="Arial" w:cs="Arial"/>
          <w:sz w:val="24"/>
          <w:szCs w:val="24"/>
        </w:rPr>
        <w:t>divididos</w:t>
      </w:r>
      <w:r>
        <w:rPr>
          <w:rFonts w:ascii="Arial" w:hAnsi="Arial" w:cs="Arial"/>
          <w:sz w:val="24"/>
          <w:szCs w:val="24"/>
        </w:rPr>
        <w:t xml:space="preserve"> en 3 grupos según tertiles del cociente urea/creatinina</w:t>
      </w:r>
      <w:r w:rsidR="0017417D">
        <w:rPr>
          <w:rFonts w:ascii="Arial" w:hAnsi="Arial" w:cs="Arial"/>
          <w:sz w:val="24"/>
          <w:szCs w:val="24"/>
        </w:rPr>
        <w:t>:</w:t>
      </w:r>
    </w:p>
    <w:p w:rsidR="00DB59CE" w:rsidRDefault="00CB14F3" w:rsidP="00A37DBF">
      <w:pPr>
        <w:spacing w:line="360" w:lineRule="auto"/>
        <w:jc w:val="both"/>
        <w:rPr>
          <w:rFonts w:ascii="Arial" w:hAnsi="Arial" w:cs="Arial"/>
          <w:sz w:val="24"/>
          <w:szCs w:val="24"/>
        </w:rPr>
      </w:pPr>
      <w:r>
        <w:rPr>
          <w:rFonts w:ascii="Arial" w:hAnsi="Arial" w:cs="Arial"/>
          <w:sz w:val="24"/>
          <w:szCs w:val="24"/>
        </w:rPr>
        <w:t xml:space="preserve"> </w:t>
      </w:r>
      <w:r w:rsidR="00A37DBF">
        <w:rPr>
          <w:rFonts w:ascii="Arial" w:hAnsi="Arial" w:cs="Arial"/>
          <w:sz w:val="24"/>
          <w:szCs w:val="24"/>
        </w:rPr>
        <w:t>T1: 79 pacientes</w:t>
      </w:r>
      <w:r w:rsidR="0017417D">
        <w:rPr>
          <w:rFonts w:ascii="Arial" w:hAnsi="Arial" w:cs="Arial"/>
          <w:sz w:val="24"/>
          <w:szCs w:val="24"/>
        </w:rPr>
        <w:t xml:space="preserve"> </w:t>
      </w:r>
      <w:r w:rsidR="00DB59CE">
        <w:rPr>
          <w:rFonts w:ascii="Arial" w:hAnsi="Arial" w:cs="Arial"/>
          <w:sz w:val="24"/>
          <w:szCs w:val="24"/>
        </w:rPr>
        <w:t xml:space="preserve">(cifras de cociente urea/creatinina de </w:t>
      </w:r>
      <w:r w:rsidR="0017417D">
        <w:rPr>
          <w:rFonts w:ascii="Arial" w:hAnsi="Arial" w:cs="Arial"/>
          <w:sz w:val="24"/>
          <w:szCs w:val="24"/>
        </w:rPr>
        <w:t>20-25</w:t>
      </w:r>
      <w:r>
        <w:rPr>
          <w:rFonts w:ascii="Arial" w:hAnsi="Arial" w:cs="Arial"/>
          <w:sz w:val="24"/>
          <w:szCs w:val="24"/>
        </w:rPr>
        <w:t>,</w:t>
      </w:r>
      <w:r w:rsidR="00323F8C">
        <w:rPr>
          <w:rFonts w:ascii="Arial" w:hAnsi="Arial" w:cs="Arial"/>
          <w:sz w:val="24"/>
          <w:szCs w:val="24"/>
        </w:rPr>
        <w:t>9</w:t>
      </w:r>
      <w:r w:rsidR="00DB59CE">
        <w:rPr>
          <w:rFonts w:ascii="Arial" w:hAnsi="Arial" w:cs="Arial"/>
          <w:sz w:val="24"/>
          <w:szCs w:val="24"/>
        </w:rPr>
        <w:t>)</w:t>
      </w:r>
      <w:r w:rsidR="0017417D">
        <w:rPr>
          <w:rFonts w:ascii="Arial" w:hAnsi="Arial" w:cs="Arial"/>
          <w:sz w:val="24"/>
          <w:szCs w:val="24"/>
        </w:rPr>
        <w:t xml:space="preserve">     </w:t>
      </w:r>
    </w:p>
    <w:p w:rsidR="00DB59CE" w:rsidRDefault="00A37DBF" w:rsidP="00A37DBF">
      <w:pPr>
        <w:spacing w:line="360" w:lineRule="auto"/>
        <w:jc w:val="both"/>
        <w:rPr>
          <w:rFonts w:ascii="Arial" w:hAnsi="Arial" w:cs="Arial"/>
          <w:sz w:val="24"/>
          <w:szCs w:val="24"/>
        </w:rPr>
      </w:pPr>
      <w:r>
        <w:rPr>
          <w:rFonts w:ascii="Arial" w:hAnsi="Arial" w:cs="Arial"/>
          <w:sz w:val="24"/>
          <w:szCs w:val="24"/>
        </w:rPr>
        <w:t xml:space="preserve"> T2: 79 pacientes</w:t>
      </w:r>
      <w:r w:rsidR="0017417D">
        <w:rPr>
          <w:rFonts w:ascii="Arial" w:hAnsi="Arial" w:cs="Arial"/>
          <w:sz w:val="24"/>
          <w:szCs w:val="24"/>
        </w:rPr>
        <w:t xml:space="preserve"> </w:t>
      </w:r>
      <w:r w:rsidR="00DB59CE">
        <w:rPr>
          <w:rFonts w:ascii="Arial" w:hAnsi="Arial" w:cs="Arial"/>
          <w:sz w:val="24"/>
          <w:szCs w:val="24"/>
        </w:rPr>
        <w:t xml:space="preserve">(cifras de cociente urea/creatinina de </w:t>
      </w:r>
      <w:r w:rsidR="0017417D">
        <w:rPr>
          <w:rFonts w:ascii="Arial" w:hAnsi="Arial" w:cs="Arial"/>
          <w:sz w:val="24"/>
          <w:szCs w:val="24"/>
        </w:rPr>
        <w:t>26-31</w:t>
      </w:r>
      <w:r w:rsidR="00CB14F3">
        <w:rPr>
          <w:rFonts w:ascii="Arial" w:hAnsi="Arial" w:cs="Arial"/>
          <w:sz w:val="24"/>
          <w:szCs w:val="24"/>
        </w:rPr>
        <w:t>,</w:t>
      </w:r>
      <w:r w:rsidR="00323F8C">
        <w:rPr>
          <w:rFonts w:ascii="Arial" w:hAnsi="Arial" w:cs="Arial"/>
          <w:sz w:val="24"/>
          <w:szCs w:val="24"/>
        </w:rPr>
        <w:t>9</w:t>
      </w:r>
      <w:r w:rsidR="00DB59CE">
        <w:rPr>
          <w:rFonts w:ascii="Arial" w:hAnsi="Arial" w:cs="Arial"/>
          <w:sz w:val="24"/>
          <w:szCs w:val="24"/>
        </w:rPr>
        <w:t>)</w:t>
      </w:r>
      <w:r>
        <w:rPr>
          <w:rFonts w:ascii="Arial" w:hAnsi="Arial" w:cs="Arial"/>
          <w:sz w:val="24"/>
          <w:szCs w:val="24"/>
        </w:rPr>
        <w:t xml:space="preserve"> </w:t>
      </w:r>
      <w:r w:rsidR="0017417D">
        <w:rPr>
          <w:rFonts w:ascii="Arial" w:hAnsi="Arial" w:cs="Arial"/>
          <w:sz w:val="24"/>
          <w:szCs w:val="24"/>
        </w:rPr>
        <w:t xml:space="preserve">     </w:t>
      </w:r>
    </w:p>
    <w:p w:rsidR="00A37DBF" w:rsidRDefault="0017417D" w:rsidP="00A37DBF">
      <w:pPr>
        <w:spacing w:line="360" w:lineRule="auto"/>
        <w:jc w:val="both"/>
        <w:rPr>
          <w:rFonts w:ascii="Arial" w:hAnsi="Arial" w:cs="Arial"/>
          <w:sz w:val="24"/>
          <w:szCs w:val="24"/>
        </w:rPr>
      </w:pPr>
      <w:r>
        <w:rPr>
          <w:rFonts w:ascii="Arial" w:hAnsi="Arial" w:cs="Arial"/>
          <w:sz w:val="24"/>
          <w:szCs w:val="24"/>
        </w:rPr>
        <w:t xml:space="preserve"> </w:t>
      </w:r>
      <w:r w:rsidR="00A37DBF">
        <w:rPr>
          <w:rFonts w:ascii="Arial" w:hAnsi="Arial" w:cs="Arial"/>
          <w:sz w:val="24"/>
          <w:szCs w:val="24"/>
        </w:rPr>
        <w:t>T3: 80 pacientes</w:t>
      </w:r>
      <w:r w:rsidR="00DB59CE">
        <w:rPr>
          <w:rFonts w:ascii="Arial" w:hAnsi="Arial" w:cs="Arial"/>
          <w:sz w:val="24"/>
          <w:szCs w:val="24"/>
        </w:rPr>
        <w:t xml:space="preserve"> (cifras de cociente urea/creatinina de</w:t>
      </w:r>
      <w:r>
        <w:rPr>
          <w:rFonts w:ascii="Arial" w:hAnsi="Arial" w:cs="Arial"/>
          <w:sz w:val="24"/>
          <w:szCs w:val="24"/>
        </w:rPr>
        <w:t xml:space="preserve"> 32-40</w:t>
      </w:r>
      <w:r w:rsidR="00DB59CE">
        <w:rPr>
          <w:rFonts w:ascii="Arial" w:hAnsi="Arial" w:cs="Arial"/>
          <w:sz w:val="24"/>
          <w:szCs w:val="24"/>
        </w:rPr>
        <w:t>)</w:t>
      </w:r>
    </w:p>
    <w:p w:rsidR="00A95C5D" w:rsidRDefault="00CB14F3" w:rsidP="00A37DBF">
      <w:pPr>
        <w:spacing w:line="360" w:lineRule="auto"/>
        <w:jc w:val="both"/>
        <w:rPr>
          <w:rFonts w:ascii="Arial" w:hAnsi="Arial" w:cs="Arial"/>
          <w:sz w:val="24"/>
          <w:szCs w:val="24"/>
        </w:rPr>
      </w:pPr>
      <w:r>
        <w:rPr>
          <w:rFonts w:ascii="Arial" w:hAnsi="Arial" w:cs="Arial"/>
          <w:sz w:val="24"/>
          <w:szCs w:val="24"/>
        </w:rPr>
        <w:lastRenderedPageBreak/>
        <w:t xml:space="preserve">La prueba de Kolmogorov-Smirnov fue usada para evaluar la distribución normal de las variables cuantitativas. </w:t>
      </w:r>
      <w:r w:rsidR="00A37DBF">
        <w:rPr>
          <w:rFonts w:ascii="Arial" w:hAnsi="Arial" w:cs="Arial"/>
          <w:sz w:val="24"/>
          <w:szCs w:val="24"/>
        </w:rPr>
        <w:t>Las variables cuantitativas se expresan como media y desviación estándar y se compararon los grupos mediante ANOVA; l</w:t>
      </w:r>
      <w:r>
        <w:rPr>
          <w:rFonts w:ascii="Arial" w:hAnsi="Arial" w:cs="Arial"/>
          <w:sz w:val="24"/>
          <w:szCs w:val="24"/>
        </w:rPr>
        <w:t>a</w:t>
      </w:r>
      <w:r w:rsidR="00A37DBF">
        <w:rPr>
          <w:rFonts w:ascii="Arial" w:hAnsi="Arial" w:cs="Arial"/>
          <w:sz w:val="24"/>
          <w:szCs w:val="24"/>
        </w:rPr>
        <w:t xml:space="preserve">s que no presentaron distribución normal se expresan como mediana y rango intercuartílico y para su comparación se utilizó el procedimiento de Kruskal-Wallis. </w:t>
      </w:r>
    </w:p>
    <w:p w:rsidR="00A95C5D" w:rsidRDefault="00A37DBF" w:rsidP="00A37DBF">
      <w:pPr>
        <w:spacing w:line="360" w:lineRule="auto"/>
        <w:jc w:val="both"/>
        <w:rPr>
          <w:rFonts w:ascii="Arial" w:hAnsi="Arial" w:cs="Arial"/>
          <w:sz w:val="24"/>
          <w:szCs w:val="24"/>
        </w:rPr>
      </w:pPr>
      <w:r>
        <w:rPr>
          <w:rFonts w:ascii="Arial" w:hAnsi="Arial" w:cs="Arial"/>
          <w:sz w:val="24"/>
          <w:szCs w:val="24"/>
        </w:rPr>
        <w:t xml:space="preserve">Para determinar las diferencias entre los grupos establecidos, según variables cualitativas se utilizó el test estadístico Chi-cuadrado basado en su hipótesis de homogeneidad y el test Exacto de Fisher según correspondiera. Para determinar </w:t>
      </w:r>
      <w:r w:rsidR="00A95C5D">
        <w:rPr>
          <w:rFonts w:ascii="Arial" w:hAnsi="Arial" w:cs="Arial"/>
          <w:sz w:val="24"/>
          <w:szCs w:val="24"/>
        </w:rPr>
        <w:t>los</w:t>
      </w:r>
      <w:r>
        <w:rPr>
          <w:rFonts w:ascii="Arial" w:hAnsi="Arial" w:cs="Arial"/>
          <w:sz w:val="24"/>
          <w:szCs w:val="24"/>
        </w:rPr>
        <w:t xml:space="preserve"> factores independiente</w:t>
      </w:r>
      <w:r w:rsidR="00A95C5D">
        <w:rPr>
          <w:rFonts w:ascii="Arial" w:hAnsi="Arial" w:cs="Arial"/>
          <w:sz w:val="24"/>
          <w:szCs w:val="24"/>
        </w:rPr>
        <w:t>mente</w:t>
      </w:r>
      <w:r>
        <w:rPr>
          <w:rFonts w:ascii="Arial" w:hAnsi="Arial" w:cs="Arial"/>
          <w:sz w:val="24"/>
          <w:szCs w:val="24"/>
        </w:rPr>
        <w:t xml:space="preserve"> se asociaron a la mortalidad se utilizó el modelo de regresión de riesgos proporcionales de Cox. Se incluyeron en el modelo aquellas variables clínicamente significativas con reconocido valor pronóstico en la literatura médica con independencia de su significación estadística y aquellas que en el análisis univariado presentaron una significación p≤ 0.01. </w:t>
      </w:r>
    </w:p>
    <w:p w:rsidR="00A37DBF" w:rsidRDefault="00A37DBF" w:rsidP="00A37DBF">
      <w:pPr>
        <w:spacing w:line="360" w:lineRule="auto"/>
        <w:jc w:val="both"/>
        <w:rPr>
          <w:rFonts w:ascii="Arial" w:hAnsi="Arial" w:cs="Arial"/>
          <w:sz w:val="24"/>
          <w:szCs w:val="24"/>
        </w:rPr>
      </w:pPr>
      <w:r>
        <w:rPr>
          <w:rFonts w:ascii="Arial" w:hAnsi="Arial" w:cs="Arial"/>
          <w:sz w:val="24"/>
          <w:szCs w:val="24"/>
        </w:rPr>
        <w:t xml:space="preserve">Se construyeron curvas de supervivencia utilizando el método </w:t>
      </w:r>
      <w:proofErr w:type="spellStart"/>
      <w:r>
        <w:rPr>
          <w:rFonts w:ascii="Arial" w:hAnsi="Arial" w:cs="Arial"/>
          <w:sz w:val="24"/>
          <w:szCs w:val="24"/>
        </w:rPr>
        <w:t>Kaplan</w:t>
      </w:r>
      <w:proofErr w:type="spellEnd"/>
      <w:r w:rsidR="00F35F4F">
        <w:rPr>
          <w:rFonts w:ascii="Arial" w:hAnsi="Arial" w:cs="Arial"/>
          <w:sz w:val="24"/>
          <w:szCs w:val="24"/>
        </w:rPr>
        <w:t xml:space="preserve"> </w:t>
      </w:r>
      <w:proofErr w:type="spellStart"/>
      <w:r>
        <w:rPr>
          <w:rFonts w:ascii="Arial" w:hAnsi="Arial" w:cs="Arial"/>
          <w:sz w:val="24"/>
          <w:szCs w:val="24"/>
        </w:rPr>
        <w:t>Meier</w:t>
      </w:r>
      <w:proofErr w:type="spellEnd"/>
      <w:r>
        <w:rPr>
          <w:rFonts w:ascii="Arial" w:hAnsi="Arial" w:cs="Arial"/>
          <w:sz w:val="24"/>
          <w:szCs w:val="24"/>
        </w:rPr>
        <w:t xml:space="preserve"> según los tertiles de cociente urea/creatinina y las medias de supervivencia de estos grupos fueron comparados a través del test Log-Rank. Con el fin de determinar el poder discriminatorio del cociente urea/creatinina como predictor de mortalidad se evaluó el área bajo la curva ROC. Se trabajó con una confiabilidad del 95%. </w:t>
      </w:r>
      <w:r w:rsidR="00F35F4F">
        <w:rPr>
          <w:rFonts w:ascii="Arial" w:hAnsi="Arial" w:cs="Arial"/>
          <w:sz w:val="24"/>
          <w:szCs w:val="24"/>
        </w:rPr>
        <w:t>S</w:t>
      </w:r>
      <w:r w:rsidR="00F35F4F" w:rsidRPr="00D805EF">
        <w:rPr>
          <w:rFonts w:ascii="Arial" w:hAnsi="Arial" w:cs="Arial"/>
          <w:sz w:val="24"/>
          <w:szCs w:val="24"/>
        </w:rPr>
        <w:t>e determinó el punto de corte óptimo</w:t>
      </w:r>
      <w:r w:rsidR="00F35F4F">
        <w:rPr>
          <w:rFonts w:ascii="Arial" w:hAnsi="Arial" w:cs="Arial"/>
          <w:sz w:val="24"/>
          <w:szCs w:val="24"/>
        </w:rPr>
        <w:t xml:space="preserve"> del cociente urea/creatinina y se evaluaron indicadores de eficacia correspondientes a un modelo de predicción.</w:t>
      </w:r>
    </w:p>
    <w:p w:rsidR="00A37DBF" w:rsidRDefault="00A37DBF" w:rsidP="00A37DBF">
      <w:pPr>
        <w:spacing w:line="360" w:lineRule="auto"/>
        <w:jc w:val="both"/>
        <w:rPr>
          <w:rFonts w:ascii="Arial" w:hAnsi="Arial" w:cs="Arial"/>
          <w:sz w:val="24"/>
          <w:szCs w:val="24"/>
        </w:rPr>
      </w:pPr>
      <w:r w:rsidRPr="00CD15C7">
        <w:rPr>
          <w:rFonts w:ascii="Arial" w:hAnsi="Arial" w:cs="Arial"/>
          <w:b/>
          <w:sz w:val="24"/>
          <w:szCs w:val="24"/>
          <w:u w:val="single"/>
        </w:rPr>
        <w:t>Consideraciones éticas y deontología médica</w:t>
      </w:r>
    </w:p>
    <w:p w:rsidR="00F35F4F" w:rsidRDefault="00A37DBF" w:rsidP="00A95C5D">
      <w:pPr>
        <w:spacing w:line="360" w:lineRule="auto"/>
        <w:jc w:val="both"/>
        <w:rPr>
          <w:rFonts w:ascii="Arial" w:hAnsi="Arial" w:cs="Arial"/>
          <w:sz w:val="24"/>
          <w:szCs w:val="24"/>
        </w:rPr>
      </w:pPr>
      <w:r w:rsidRPr="00CD15C7">
        <w:rPr>
          <w:rFonts w:ascii="Arial" w:hAnsi="Arial" w:cs="Arial"/>
          <w:sz w:val="24"/>
          <w:szCs w:val="24"/>
        </w:rPr>
        <w:t>Se solicitó consentimiento informado a cada paciente,</w:t>
      </w:r>
      <w:r>
        <w:rPr>
          <w:rFonts w:ascii="Arial" w:hAnsi="Arial" w:cs="Arial"/>
          <w:sz w:val="24"/>
          <w:szCs w:val="24"/>
        </w:rPr>
        <w:t xml:space="preserve"> por lo que se respetó la autonomía como principio ético, </w:t>
      </w:r>
      <w:r w:rsidRPr="00CD15C7">
        <w:rPr>
          <w:rFonts w:ascii="Arial" w:hAnsi="Arial" w:cs="Arial"/>
          <w:sz w:val="24"/>
          <w:szCs w:val="24"/>
        </w:rPr>
        <w:t>además</w:t>
      </w:r>
      <w:r>
        <w:rPr>
          <w:rFonts w:ascii="Arial" w:hAnsi="Arial" w:cs="Arial"/>
          <w:sz w:val="24"/>
          <w:szCs w:val="24"/>
        </w:rPr>
        <w:t xml:space="preserve"> la investigación fue aprobada</w:t>
      </w:r>
      <w:r w:rsidRPr="00CD15C7">
        <w:rPr>
          <w:rFonts w:ascii="Arial" w:hAnsi="Arial" w:cs="Arial"/>
          <w:sz w:val="24"/>
          <w:szCs w:val="24"/>
        </w:rPr>
        <w:t xml:space="preserve"> por el comité de ética del Hospital</w:t>
      </w:r>
      <w:r w:rsidR="00F35F4F">
        <w:rPr>
          <w:rFonts w:ascii="Arial" w:hAnsi="Arial" w:cs="Arial"/>
          <w:sz w:val="24"/>
          <w:szCs w:val="24"/>
        </w:rPr>
        <w:t xml:space="preserve"> Ernesto Guevara de la Serna (Ver anexo #</w:t>
      </w:r>
      <w:r w:rsidR="00A95C5D">
        <w:rPr>
          <w:rFonts w:ascii="Arial" w:hAnsi="Arial" w:cs="Arial"/>
          <w:sz w:val="24"/>
          <w:szCs w:val="24"/>
        </w:rPr>
        <w:t xml:space="preserve"> </w:t>
      </w:r>
      <w:r w:rsidR="00F35F4F">
        <w:rPr>
          <w:rFonts w:ascii="Arial" w:hAnsi="Arial" w:cs="Arial"/>
          <w:sz w:val="24"/>
          <w:szCs w:val="24"/>
        </w:rPr>
        <w:t>3)</w:t>
      </w:r>
      <w:r>
        <w:rPr>
          <w:rFonts w:ascii="Arial" w:hAnsi="Arial" w:cs="Arial"/>
          <w:sz w:val="24"/>
          <w:szCs w:val="24"/>
        </w:rPr>
        <w:t xml:space="preserve">. </w:t>
      </w:r>
      <w:r w:rsidRPr="009101A4">
        <w:rPr>
          <w:rFonts w:ascii="Arial" w:hAnsi="Arial" w:cs="Arial"/>
          <w:sz w:val="24"/>
          <w:szCs w:val="24"/>
        </w:rPr>
        <w:t>Los datos recolectados fueron procesados con la más estricta confidencialidad y solo con interés científico</w:t>
      </w:r>
      <w:r>
        <w:rPr>
          <w:rFonts w:ascii="Arial" w:hAnsi="Arial" w:cs="Arial"/>
          <w:sz w:val="24"/>
          <w:szCs w:val="24"/>
        </w:rPr>
        <w:t xml:space="preserve">. </w:t>
      </w:r>
      <w:r w:rsidRPr="004F34A1">
        <w:rPr>
          <w:rFonts w:ascii="Arial" w:hAnsi="Arial" w:cs="Arial"/>
          <w:sz w:val="24"/>
          <w:szCs w:val="24"/>
        </w:rPr>
        <w:t>No se violaron restricciones que existían a la hora de recolectar informació</w:t>
      </w:r>
      <w:r>
        <w:rPr>
          <w:rFonts w:ascii="Arial" w:hAnsi="Arial" w:cs="Arial"/>
          <w:sz w:val="24"/>
          <w:szCs w:val="24"/>
        </w:rPr>
        <w:t>n. La beneficencia y la no mal</w:t>
      </w:r>
      <w:r w:rsidRPr="004F34A1">
        <w:rPr>
          <w:rFonts w:ascii="Arial" w:hAnsi="Arial" w:cs="Arial"/>
          <w:sz w:val="24"/>
          <w:szCs w:val="24"/>
        </w:rPr>
        <w:t>eficencia estuvieron presentes</w:t>
      </w:r>
      <w:r>
        <w:rPr>
          <w:rFonts w:ascii="Arial" w:hAnsi="Arial" w:cs="Arial"/>
          <w:sz w:val="24"/>
          <w:szCs w:val="24"/>
        </w:rPr>
        <w:t>,</w:t>
      </w:r>
      <w:r w:rsidRPr="004F34A1">
        <w:rPr>
          <w:rFonts w:ascii="Arial" w:hAnsi="Arial" w:cs="Arial"/>
          <w:sz w:val="24"/>
          <w:szCs w:val="24"/>
        </w:rPr>
        <w:t xml:space="preserve"> dado a que con los resultados de esta investigación se pretende contribuir al mejoramiento del estado de salud de la comunidad. </w:t>
      </w:r>
    </w:p>
    <w:p w:rsidR="006B1364" w:rsidRPr="006B1364" w:rsidRDefault="00A37DBF" w:rsidP="00F35F4F">
      <w:pPr>
        <w:spacing w:line="360" w:lineRule="auto"/>
        <w:jc w:val="center"/>
        <w:rPr>
          <w:rFonts w:ascii="Arial" w:hAnsi="Arial" w:cs="Arial"/>
          <w:sz w:val="24"/>
          <w:szCs w:val="24"/>
        </w:rPr>
      </w:pPr>
      <w:r w:rsidRPr="00A37DBF">
        <w:rPr>
          <w:rFonts w:ascii="Arial" w:hAnsi="Arial" w:cs="Arial"/>
          <w:b/>
          <w:sz w:val="24"/>
          <w:szCs w:val="24"/>
        </w:rPr>
        <w:lastRenderedPageBreak/>
        <w:t>RESULTADOS</w:t>
      </w:r>
    </w:p>
    <w:p w:rsidR="0017417D" w:rsidRPr="006B1364" w:rsidRDefault="0017417D" w:rsidP="0017417D">
      <w:pPr>
        <w:spacing w:line="360" w:lineRule="auto"/>
        <w:jc w:val="both"/>
        <w:rPr>
          <w:rFonts w:ascii="Arial" w:hAnsi="Arial" w:cs="Arial"/>
          <w:sz w:val="24"/>
          <w:szCs w:val="24"/>
        </w:rPr>
      </w:pPr>
      <w:r w:rsidRPr="0017417D">
        <w:rPr>
          <w:rFonts w:ascii="Arial" w:hAnsi="Arial" w:cs="Arial"/>
          <w:b/>
          <w:sz w:val="24"/>
          <w:szCs w:val="24"/>
        </w:rPr>
        <w:t xml:space="preserve">Tabla 1. </w:t>
      </w:r>
      <w:r w:rsidRPr="002B7118">
        <w:rPr>
          <w:rFonts w:ascii="Arial" w:hAnsi="Arial" w:cs="Arial"/>
          <w:sz w:val="24"/>
          <w:szCs w:val="24"/>
        </w:rPr>
        <w:t xml:space="preserve">Distribución de los pacientes según características clínicos epidemiológicos y tratamiento. </w:t>
      </w:r>
    </w:p>
    <w:tbl>
      <w:tblPr>
        <w:tblStyle w:val="Listaclara-nfasis5"/>
        <w:tblpPr w:leftFromText="141" w:rightFromText="141" w:vertAnchor="page" w:horzAnchor="margin" w:tblpXSpec="center" w:tblpY="3571"/>
        <w:tblW w:w="11590" w:type="dxa"/>
        <w:tblLayout w:type="fixed"/>
        <w:tblLook w:val="04A0"/>
      </w:tblPr>
      <w:tblGrid>
        <w:gridCol w:w="3227"/>
        <w:gridCol w:w="1843"/>
        <w:gridCol w:w="1842"/>
        <w:gridCol w:w="1843"/>
        <w:gridCol w:w="1843"/>
        <w:gridCol w:w="992"/>
      </w:tblGrid>
      <w:tr w:rsidR="0017417D" w:rsidTr="002324A1">
        <w:trPr>
          <w:cnfStyle w:val="100000000000"/>
          <w:trHeight w:val="699"/>
        </w:trPr>
        <w:tc>
          <w:tcPr>
            <w:cnfStyle w:val="001000000000"/>
            <w:tcW w:w="3227" w:type="dxa"/>
            <w:tcBorders>
              <w:right w:val="single" w:sz="4" w:space="0" w:color="auto"/>
            </w:tcBorders>
          </w:tcPr>
          <w:p w:rsidR="0017417D" w:rsidRPr="006A294E" w:rsidRDefault="0017417D" w:rsidP="004D272A">
            <w:pPr>
              <w:rPr>
                <w:rFonts w:ascii="Arial" w:hAnsi="Arial" w:cs="Arial"/>
                <w:b w:val="0"/>
                <w:sz w:val="24"/>
                <w:szCs w:val="24"/>
              </w:rPr>
            </w:pPr>
            <w:r w:rsidRPr="006A294E">
              <w:rPr>
                <w:rFonts w:ascii="Arial" w:hAnsi="Arial" w:cs="Arial"/>
                <w:b w:val="0"/>
                <w:sz w:val="24"/>
                <w:szCs w:val="24"/>
              </w:rPr>
              <w:t>Variables</w:t>
            </w:r>
          </w:p>
        </w:tc>
        <w:tc>
          <w:tcPr>
            <w:tcW w:w="1843" w:type="dxa"/>
            <w:tcBorders>
              <w:left w:val="single" w:sz="4" w:space="0" w:color="auto"/>
              <w:right w:val="single" w:sz="4" w:space="0" w:color="auto"/>
            </w:tcBorders>
          </w:tcPr>
          <w:p w:rsidR="0017417D" w:rsidRPr="006A294E" w:rsidRDefault="0017417D" w:rsidP="004D272A">
            <w:pPr>
              <w:cnfStyle w:val="100000000000"/>
              <w:rPr>
                <w:rFonts w:ascii="Arial" w:hAnsi="Arial" w:cs="Arial"/>
                <w:b w:val="0"/>
                <w:sz w:val="24"/>
                <w:szCs w:val="24"/>
              </w:rPr>
            </w:pPr>
            <w:r w:rsidRPr="006A294E">
              <w:rPr>
                <w:rFonts w:ascii="Arial" w:hAnsi="Arial" w:cs="Arial"/>
                <w:b w:val="0"/>
                <w:sz w:val="24"/>
                <w:szCs w:val="24"/>
              </w:rPr>
              <w:t>Total</w:t>
            </w:r>
            <w:r>
              <w:rPr>
                <w:rFonts w:ascii="Arial" w:hAnsi="Arial" w:cs="Arial"/>
                <w:b w:val="0"/>
                <w:sz w:val="24"/>
                <w:szCs w:val="24"/>
              </w:rPr>
              <w:t xml:space="preserve"> </w:t>
            </w:r>
            <w:r w:rsidRPr="006A294E">
              <w:rPr>
                <w:rFonts w:ascii="Arial" w:hAnsi="Arial" w:cs="Arial"/>
                <w:b w:val="0"/>
                <w:sz w:val="24"/>
                <w:szCs w:val="24"/>
              </w:rPr>
              <w:t>(</w:t>
            </w:r>
            <w:r>
              <w:rPr>
                <w:rFonts w:ascii="Arial" w:hAnsi="Arial" w:cs="Arial"/>
                <w:b w:val="0"/>
                <w:sz w:val="24"/>
                <w:szCs w:val="24"/>
              </w:rPr>
              <w:t>238</w:t>
            </w:r>
            <w:r w:rsidRPr="006A294E">
              <w:rPr>
                <w:rFonts w:ascii="Arial" w:hAnsi="Arial" w:cs="Arial"/>
                <w:b w:val="0"/>
                <w:sz w:val="24"/>
                <w:szCs w:val="24"/>
              </w:rPr>
              <w:t>)</w:t>
            </w:r>
          </w:p>
        </w:tc>
        <w:tc>
          <w:tcPr>
            <w:tcW w:w="1842" w:type="dxa"/>
            <w:tcBorders>
              <w:left w:val="single" w:sz="4" w:space="0" w:color="auto"/>
              <w:right w:val="single" w:sz="4" w:space="0" w:color="auto"/>
            </w:tcBorders>
          </w:tcPr>
          <w:p w:rsidR="0017417D" w:rsidRPr="006A294E" w:rsidRDefault="0017417D" w:rsidP="004D272A">
            <w:pPr>
              <w:cnfStyle w:val="100000000000"/>
              <w:rPr>
                <w:rFonts w:ascii="Arial" w:hAnsi="Arial" w:cs="Arial"/>
                <w:b w:val="0"/>
                <w:sz w:val="24"/>
                <w:szCs w:val="24"/>
              </w:rPr>
            </w:pPr>
            <w:r>
              <w:rPr>
                <w:rFonts w:ascii="Arial" w:hAnsi="Arial" w:cs="Arial"/>
                <w:b w:val="0"/>
                <w:sz w:val="24"/>
                <w:szCs w:val="24"/>
              </w:rPr>
              <w:t>Tertil</w:t>
            </w:r>
            <w:r w:rsidRPr="006A294E">
              <w:rPr>
                <w:rFonts w:ascii="Arial" w:hAnsi="Arial" w:cs="Arial"/>
                <w:b w:val="0"/>
                <w:sz w:val="24"/>
                <w:szCs w:val="24"/>
              </w:rPr>
              <w:t xml:space="preserve"> 1</w:t>
            </w:r>
            <w:r>
              <w:rPr>
                <w:rFonts w:ascii="Arial" w:hAnsi="Arial" w:cs="Arial"/>
                <w:b w:val="0"/>
                <w:sz w:val="24"/>
                <w:szCs w:val="24"/>
              </w:rPr>
              <w:t xml:space="preserve"> (79</w:t>
            </w:r>
            <w:r w:rsidRPr="006A294E">
              <w:rPr>
                <w:rFonts w:ascii="Arial" w:hAnsi="Arial" w:cs="Arial"/>
                <w:b w:val="0"/>
                <w:sz w:val="24"/>
                <w:szCs w:val="24"/>
              </w:rPr>
              <w:t>)</w:t>
            </w:r>
          </w:p>
        </w:tc>
        <w:tc>
          <w:tcPr>
            <w:tcW w:w="1843" w:type="dxa"/>
            <w:tcBorders>
              <w:left w:val="single" w:sz="4" w:space="0" w:color="auto"/>
              <w:right w:val="single" w:sz="4" w:space="0" w:color="auto"/>
            </w:tcBorders>
          </w:tcPr>
          <w:p w:rsidR="0017417D" w:rsidRDefault="0017417D" w:rsidP="004D272A">
            <w:pPr>
              <w:cnfStyle w:val="100000000000"/>
            </w:pPr>
            <w:r>
              <w:rPr>
                <w:rFonts w:ascii="Arial" w:hAnsi="Arial" w:cs="Arial"/>
                <w:b w:val="0"/>
                <w:sz w:val="24"/>
                <w:szCs w:val="24"/>
              </w:rPr>
              <w:t>Tertil</w:t>
            </w:r>
            <w:r w:rsidRPr="006A294E">
              <w:rPr>
                <w:rFonts w:ascii="Arial" w:hAnsi="Arial" w:cs="Arial"/>
                <w:b w:val="0"/>
                <w:sz w:val="24"/>
                <w:szCs w:val="24"/>
              </w:rPr>
              <w:t xml:space="preserve"> </w:t>
            </w:r>
            <w:r>
              <w:rPr>
                <w:rFonts w:ascii="Arial" w:hAnsi="Arial" w:cs="Arial"/>
                <w:b w:val="0"/>
                <w:sz w:val="24"/>
                <w:szCs w:val="24"/>
              </w:rPr>
              <w:t xml:space="preserve">2 </w:t>
            </w:r>
            <w:r w:rsidRPr="006A294E">
              <w:rPr>
                <w:rFonts w:ascii="Arial" w:hAnsi="Arial" w:cs="Arial"/>
                <w:b w:val="0"/>
                <w:sz w:val="24"/>
                <w:szCs w:val="24"/>
              </w:rPr>
              <w:t>(</w:t>
            </w:r>
            <w:r>
              <w:rPr>
                <w:rFonts w:ascii="Arial" w:hAnsi="Arial" w:cs="Arial"/>
                <w:b w:val="0"/>
                <w:sz w:val="24"/>
                <w:szCs w:val="24"/>
              </w:rPr>
              <w:t>79</w:t>
            </w:r>
            <w:r w:rsidRPr="006A294E">
              <w:rPr>
                <w:rFonts w:ascii="Arial" w:hAnsi="Arial" w:cs="Arial"/>
                <w:b w:val="0"/>
                <w:sz w:val="24"/>
                <w:szCs w:val="24"/>
              </w:rPr>
              <w:t>)</w:t>
            </w:r>
          </w:p>
        </w:tc>
        <w:tc>
          <w:tcPr>
            <w:tcW w:w="1843" w:type="dxa"/>
            <w:tcBorders>
              <w:left w:val="single" w:sz="4" w:space="0" w:color="auto"/>
              <w:right w:val="single" w:sz="4" w:space="0" w:color="auto"/>
            </w:tcBorders>
          </w:tcPr>
          <w:p w:rsidR="0017417D" w:rsidRDefault="0017417D" w:rsidP="004D272A">
            <w:pPr>
              <w:cnfStyle w:val="100000000000"/>
            </w:pPr>
            <w:r>
              <w:rPr>
                <w:rFonts w:ascii="Arial" w:hAnsi="Arial" w:cs="Arial"/>
                <w:b w:val="0"/>
                <w:sz w:val="24"/>
                <w:szCs w:val="24"/>
              </w:rPr>
              <w:t>Tertil</w:t>
            </w:r>
            <w:r w:rsidRPr="006A294E">
              <w:rPr>
                <w:rFonts w:ascii="Arial" w:hAnsi="Arial" w:cs="Arial"/>
                <w:b w:val="0"/>
                <w:sz w:val="24"/>
                <w:szCs w:val="24"/>
              </w:rPr>
              <w:t xml:space="preserve"> </w:t>
            </w:r>
            <w:r>
              <w:rPr>
                <w:rFonts w:ascii="Arial" w:hAnsi="Arial" w:cs="Arial"/>
                <w:b w:val="0"/>
                <w:sz w:val="24"/>
                <w:szCs w:val="24"/>
              </w:rPr>
              <w:t xml:space="preserve">3 </w:t>
            </w:r>
            <w:r w:rsidRPr="006A294E">
              <w:rPr>
                <w:rFonts w:ascii="Arial" w:hAnsi="Arial" w:cs="Arial"/>
                <w:b w:val="0"/>
                <w:sz w:val="24"/>
                <w:szCs w:val="24"/>
              </w:rPr>
              <w:t>(</w:t>
            </w:r>
            <w:r>
              <w:rPr>
                <w:rFonts w:ascii="Arial" w:hAnsi="Arial" w:cs="Arial"/>
                <w:b w:val="0"/>
                <w:sz w:val="24"/>
                <w:szCs w:val="24"/>
              </w:rPr>
              <w:t>80</w:t>
            </w:r>
            <w:r w:rsidRPr="006A294E">
              <w:rPr>
                <w:rFonts w:ascii="Arial" w:hAnsi="Arial" w:cs="Arial"/>
                <w:b w:val="0"/>
                <w:sz w:val="24"/>
                <w:szCs w:val="24"/>
              </w:rPr>
              <w:t>)</w:t>
            </w:r>
          </w:p>
        </w:tc>
        <w:tc>
          <w:tcPr>
            <w:tcW w:w="992" w:type="dxa"/>
            <w:tcBorders>
              <w:left w:val="single" w:sz="4" w:space="0" w:color="auto"/>
            </w:tcBorders>
          </w:tcPr>
          <w:p w:rsidR="0017417D" w:rsidRPr="006A294E" w:rsidRDefault="0017417D" w:rsidP="004D272A">
            <w:pPr>
              <w:cnfStyle w:val="100000000000"/>
              <w:rPr>
                <w:rFonts w:ascii="Arial" w:hAnsi="Arial" w:cs="Arial"/>
                <w:b w:val="0"/>
                <w:sz w:val="24"/>
                <w:szCs w:val="24"/>
              </w:rPr>
            </w:pPr>
            <w:r>
              <w:rPr>
                <w:rFonts w:ascii="Arial" w:hAnsi="Arial" w:cs="Arial"/>
                <w:b w:val="0"/>
                <w:sz w:val="24"/>
                <w:szCs w:val="24"/>
              </w:rPr>
              <w:t xml:space="preserve">    </w:t>
            </w:r>
            <w:r w:rsidRPr="006A294E">
              <w:rPr>
                <w:rFonts w:ascii="Arial" w:hAnsi="Arial" w:cs="Arial"/>
                <w:b w:val="0"/>
                <w:sz w:val="24"/>
                <w:szCs w:val="24"/>
              </w:rPr>
              <w:t>p</w:t>
            </w:r>
          </w:p>
        </w:tc>
      </w:tr>
      <w:tr w:rsidR="0017417D" w:rsidTr="002324A1">
        <w:trPr>
          <w:cnfStyle w:val="000000100000"/>
          <w:trHeight w:val="410"/>
        </w:trPr>
        <w:tc>
          <w:tcPr>
            <w:cnfStyle w:val="001000000000"/>
            <w:tcW w:w="3227" w:type="dxa"/>
            <w:tcBorders>
              <w:right w:val="single" w:sz="4" w:space="0" w:color="auto"/>
            </w:tcBorders>
          </w:tcPr>
          <w:p w:rsidR="0017417D" w:rsidRPr="00BF6101" w:rsidRDefault="0017417D" w:rsidP="004D272A">
            <w:pPr>
              <w:tabs>
                <w:tab w:val="center" w:pos="2207"/>
              </w:tabs>
            </w:pPr>
            <w:r w:rsidRPr="00BF6101">
              <w:rPr>
                <w:rFonts w:ascii="Arial" w:hAnsi="Arial" w:cs="Arial"/>
                <w:sz w:val="24"/>
                <w:szCs w:val="24"/>
              </w:rPr>
              <w:t>Antecedentes</w:t>
            </w:r>
            <w:r>
              <w:rPr>
                <w:rFonts w:ascii="Arial" w:hAnsi="Arial" w:cs="Arial"/>
                <w:sz w:val="24"/>
                <w:szCs w:val="24"/>
              </w:rPr>
              <w:tab/>
            </w:r>
          </w:p>
        </w:tc>
        <w:tc>
          <w:tcPr>
            <w:tcW w:w="1843" w:type="dxa"/>
            <w:tcBorders>
              <w:left w:val="single" w:sz="4" w:space="0" w:color="auto"/>
              <w:right w:val="single" w:sz="4" w:space="0" w:color="auto"/>
            </w:tcBorders>
          </w:tcPr>
          <w:p w:rsidR="0017417D" w:rsidRDefault="0017417D" w:rsidP="004D272A">
            <w:pPr>
              <w:cnfStyle w:val="000000100000"/>
            </w:pPr>
          </w:p>
        </w:tc>
        <w:tc>
          <w:tcPr>
            <w:tcW w:w="1842" w:type="dxa"/>
            <w:tcBorders>
              <w:left w:val="single" w:sz="4" w:space="0" w:color="auto"/>
              <w:right w:val="single" w:sz="4" w:space="0" w:color="auto"/>
            </w:tcBorders>
          </w:tcPr>
          <w:p w:rsidR="0017417D" w:rsidRDefault="0017417D" w:rsidP="004D272A">
            <w:pPr>
              <w:cnfStyle w:val="000000100000"/>
            </w:pPr>
          </w:p>
        </w:tc>
        <w:tc>
          <w:tcPr>
            <w:tcW w:w="1843" w:type="dxa"/>
            <w:tcBorders>
              <w:left w:val="single" w:sz="4" w:space="0" w:color="auto"/>
              <w:right w:val="single" w:sz="4" w:space="0" w:color="auto"/>
            </w:tcBorders>
          </w:tcPr>
          <w:p w:rsidR="0017417D" w:rsidRDefault="0017417D" w:rsidP="004D272A">
            <w:pPr>
              <w:cnfStyle w:val="000000100000"/>
            </w:pPr>
          </w:p>
        </w:tc>
        <w:tc>
          <w:tcPr>
            <w:tcW w:w="1843" w:type="dxa"/>
            <w:tcBorders>
              <w:left w:val="single" w:sz="4" w:space="0" w:color="auto"/>
              <w:right w:val="single" w:sz="4" w:space="0" w:color="auto"/>
            </w:tcBorders>
          </w:tcPr>
          <w:p w:rsidR="0017417D" w:rsidRDefault="0017417D" w:rsidP="004D272A">
            <w:pPr>
              <w:cnfStyle w:val="000000100000"/>
            </w:pPr>
          </w:p>
        </w:tc>
        <w:tc>
          <w:tcPr>
            <w:tcW w:w="992" w:type="dxa"/>
            <w:tcBorders>
              <w:left w:val="single" w:sz="4" w:space="0" w:color="auto"/>
            </w:tcBorders>
          </w:tcPr>
          <w:p w:rsidR="0017417D" w:rsidRDefault="0017417D" w:rsidP="004D272A">
            <w:pPr>
              <w:cnfStyle w:val="000000100000"/>
            </w:pPr>
          </w:p>
        </w:tc>
      </w:tr>
      <w:tr w:rsidR="0017417D" w:rsidRPr="005A1F10" w:rsidTr="002324A1">
        <w:trPr>
          <w:trHeight w:val="336"/>
        </w:trPr>
        <w:tc>
          <w:tcPr>
            <w:cnfStyle w:val="001000000000"/>
            <w:tcW w:w="3227" w:type="dxa"/>
            <w:tcBorders>
              <w:right w:val="single" w:sz="4" w:space="0" w:color="auto"/>
            </w:tcBorders>
          </w:tcPr>
          <w:p w:rsidR="0017417D" w:rsidRPr="00A21BA9" w:rsidRDefault="0017417D" w:rsidP="00186F8B">
            <w:pPr>
              <w:rPr>
                <w:b w:val="0"/>
              </w:rPr>
            </w:pPr>
            <w:r w:rsidRPr="00A21BA9">
              <w:rPr>
                <w:rFonts w:ascii="Arial" w:hAnsi="Arial" w:cs="Arial"/>
                <w:b w:val="0"/>
                <w:sz w:val="24"/>
                <w:szCs w:val="24"/>
              </w:rPr>
              <w:t>Edad</w:t>
            </w:r>
            <w:r w:rsidRPr="00A21BA9">
              <w:rPr>
                <w:rFonts w:ascii="Arial" w:hAnsi="Arial" w:cs="Arial"/>
                <w:sz w:val="24"/>
                <w:szCs w:val="24"/>
                <w:vertAlign w:val="superscript"/>
              </w:rPr>
              <w:t xml:space="preserve"> </w:t>
            </w:r>
            <w:r w:rsidR="00186F8B">
              <w:rPr>
                <w:rFonts w:ascii="Arial" w:hAnsi="Arial" w:cs="Arial"/>
                <w:sz w:val="24"/>
                <w:szCs w:val="24"/>
                <w:vertAlign w:val="superscript"/>
              </w:rPr>
              <w:t>b</w:t>
            </w:r>
            <w:r w:rsidRPr="00A21BA9">
              <w:rPr>
                <w:rFonts w:ascii="Arial" w:hAnsi="Arial" w:cs="Arial"/>
                <w:b w:val="0"/>
                <w:sz w:val="24"/>
                <w:szCs w:val="24"/>
              </w:rPr>
              <w:t xml:space="preserve"> </w:t>
            </w:r>
          </w:p>
        </w:tc>
        <w:tc>
          <w:tcPr>
            <w:tcW w:w="1843" w:type="dxa"/>
            <w:tcBorders>
              <w:left w:val="single" w:sz="4" w:space="0" w:color="auto"/>
              <w:right w:val="single" w:sz="4" w:space="0" w:color="auto"/>
            </w:tcBorders>
          </w:tcPr>
          <w:p w:rsidR="0017417D" w:rsidRPr="00A21BA9" w:rsidRDefault="00186F8B" w:rsidP="00186F8B">
            <w:pPr>
              <w:cnfStyle w:val="000000000000"/>
              <w:rPr>
                <w:rFonts w:ascii="Arial" w:hAnsi="Arial" w:cs="Arial"/>
                <w:sz w:val="24"/>
                <w:szCs w:val="24"/>
              </w:rPr>
            </w:pPr>
            <w:r>
              <w:rPr>
                <w:rFonts w:ascii="Arial" w:hAnsi="Arial" w:cs="Arial"/>
                <w:sz w:val="24"/>
                <w:szCs w:val="24"/>
              </w:rPr>
              <w:t>55 (43-79</w:t>
            </w:r>
            <w:r w:rsidR="0017417D" w:rsidRPr="00A21BA9">
              <w:rPr>
                <w:rFonts w:ascii="Arial" w:hAnsi="Arial" w:cs="Arial"/>
                <w:sz w:val="24"/>
                <w:szCs w:val="24"/>
              </w:rPr>
              <w:t>)</w:t>
            </w:r>
          </w:p>
        </w:tc>
        <w:tc>
          <w:tcPr>
            <w:tcW w:w="1842" w:type="dxa"/>
            <w:tcBorders>
              <w:left w:val="single" w:sz="4" w:space="0" w:color="auto"/>
              <w:right w:val="single" w:sz="4" w:space="0" w:color="auto"/>
            </w:tcBorders>
          </w:tcPr>
          <w:p w:rsidR="0017417D" w:rsidRPr="00A21BA9" w:rsidRDefault="00186F8B" w:rsidP="00186F8B">
            <w:pPr>
              <w:cnfStyle w:val="000000000000"/>
              <w:rPr>
                <w:rFonts w:ascii="Arial" w:hAnsi="Arial" w:cs="Arial"/>
                <w:sz w:val="24"/>
                <w:szCs w:val="24"/>
              </w:rPr>
            </w:pPr>
            <w:r>
              <w:rPr>
                <w:rFonts w:ascii="Arial" w:hAnsi="Arial" w:cs="Arial"/>
                <w:sz w:val="24"/>
                <w:szCs w:val="24"/>
              </w:rPr>
              <w:t>51(41-74</w:t>
            </w:r>
            <w:r w:rsidR="0017417D" w:rsidRPr="00A21BA9">
              <w:rPr>
                <w:rFonts w:ascii="Arial" w:hAnsi="Arial" w:cs="Arial"/>
                <w:sz w:val="24"/>
                <w:szCs w:val="24"/>
              </w:rPr>
              <w:t>)</w:t>
            </w:r>
          </w:p>
        </w:tc>
        <w:tc>
          <w:tcPr>
            <w:tcW w:w="1843" w:type="dxa"/>
            <w:tcBorders>
              <w:left w:val="single" w:sz="4" w:space="0" w:color="auto"/>
              <w:right w:val="single" w:sz="4" w:space="0" w:color="auto"/>
            </w:tcBorders>
          </w:tcPr>
          <w:p w:rsidR="0017417D" w:rsidRPr="00A21BA9" w:rsidRDefault="00186F8B" w:rsidP="00186F8B">
            <w:pPr>
              <w:cnfStyle w:val="000000000000"/>
            </w:pPr>
            <w:r>
              <w:rPr>
                <w:rFonts w:ascii="Arial" w:hAnsi="Arial" w:cs="Arial"/>
                <w:sz w:val="24"/>
                <w:szCs w:val="24"/>
              </w:rPr>
              <w:t>56</w:t>
            </w:r>
            <w:r w:rsidR="0017417D" w:rsidRPr="00A21BA9">
              <w:rPr>
                <w:rFonts w:ascii="Arial" w:hAnsi="Arial" w:cs="Arial"/>
                <w:sz w:val="24"/>
                <w:szCs w:val="24"/>
              </w:rPr>
              <w:t xml:space="preserve"> (</w:t>
            </w:r>
            <w:r>
              <w:rPr>
                <w:rFonts w:ascii="Arial" w:hAnsi="Arial" w:cs="Arial"/>
                <w:sz w:val="24"/>
                <w:szCs w:val="24"/>
              </w:rPr>
              <w:t>47-78</w:t>
            </w:r>
            <w:r w:rsidR="0017417D" w:rsidRPr="00A21BA9">
              <w:rPr>
                <w:rFonts w:ascii="Arial" w:hAnsi="Arial" w:cs="Arial"/>
                <w:sz w:val="24"/>
                <w:szCs w:val="24"/>
              </w:rPr>
              <w:t>)</w:t>
            </w:r>
          </w:p>
        </w:tc>
        <w:tc>
          <w:tcPr>
            <w:tcW w:w="1843" w:type="dxa"/>
            <w:tcBorders>
              <w:left w:val="single" w:sz="4" w:space="0" w:color="auto"/>
              <w:right w:val="single" w:sz="4" w:space="0" w:color="auto"/>
            </w:tcBorders>
          </w:tcPr>
          <w:p w:rsidR="0017417D" w:rsidRPr="00A21BA9" w:rsidRDefault="005162A9" w:rsidP="005162A9">
            <w:pPr>
              <w:cnfStyle w:val="000000000000"/>
              <w:rPr>
                <w:rFonts w:ascii="Arial" w:hAnsi="Arial" w:cs="Arial"/>
                <w:sz w:val="24"/>
                <w:szCs w:val="24"/>
              </w:rPr>
            </w:pPr>
            <w:r>
              <w:rPr>
                <w:rFonts w:ascii="Arial" w:hAnsi="Arial" w:cs="Arial"/>
                <w:sz w:val="24"/>
                <w:szCs w:val="24"/>
              </w:rPr>
              <w:t xml:space="preserve">63 </w:t>
            </w:r>
            <w:r w:rsidR="0017417D" w:rsidRPr="00A21BA9">
              <w:rPr>
                <w:rFonts w:ascii="Arial" w:hAnsi="Arial" w:cs="Arial"/>
                <w:sz w:val="24"/>
                <w:szCs w:val="24"/>
              </w:rPr>
              <w:t>(</w:t>
            </w:r>
            <w:r>
              <w:rPr>
                <w:rFonts w:ascii="Arial" w:hAnsi="Arial" w:cs="Arial"/>
                <w:sz w:val="24"/>
                <w:szCs w:val="24"/>
              </w:rPr>
              <w:t>50-79</w:t>
            </w:r>
            <w:r w:rsidR="0017417D" w:rsidRPr="00A21BA9">
              <w:rPr>
                <w:rFonts w:ascii="Arial" w:hAnsi="Arial" w:cs="Arial"/>
                <w:sz w:val="24"/>
                <w:szCs w:val="24"/>
              </w:rPr>
              <w:t>)</w:t>
            </w:r>
          </w:p>
        </w:tc>
        <w:tc>
          <w:tcPr>
            <w:tcW w:w="992" w:type="dxa"/>
            <w:tcBorders>
              <w:left w:val="single" w:sz="4" w:space="0" w:color="auto"/>
            </w:tcBorders>
          </w:tcPr>
          <w:p w:rsidR="0017417D" w:rsidRPr="00B67616" w:rsidRDefault="00650778" w:rsidP="004D272A">
            <w:pPr>
              <w:cnfStyle w:val="000000000000"/>
              <w:rPr>
                <w:rFonts w:ascii="Arial" w:hAnsi="Arial" w:cs="Arial"/>
                <w:b/>
                <w:sz w:val="24"/>
                <w:szCs w:val="24"/>
                <w:vertAlign w:val="superscript"/>
              </w:rPr>
            </w:pPr>
            <w:r>
              <w:rPr>
                <w:rFonts w:ascii="Arial" w:hAnsi="Arial" w:cs="Arial"/>
                <w:b/>
                <w:sz w:val="24"/>
                <w:szCs w:val="24"/>
              </w:rPr>
              <w:t>0,</w:t>
            </w:r>
            <w:r w:rsidR="0017417D" w:rsidRPr="00B67616">
              <w:rPr>
                <w:rFonts w:ascii="Arial" w:hAnsi="Arial" w:cs="Arial"/>
                <w:b/>
                <w:sz w:val="24"/>
                <w:szCs w:val="24"/>
              </w:rPr>
              <w:t>041</w:t>
            </w:r>
            <w:r w:rsidR="0017417D" w:rsidRPr="00B67616">
              <w:rPr>
                <w:rFonts w:ascii="Arial" w:hAnsi="Arial" w:cs="Arial"/>
                <w:b/>
                <w:sz w:val="24"/>
                <w:szCs w:val="24"/>
                <w:vertAlign w:val="superscript"/>
              </w:rPr>
              <w:t>c</w:t>
            </w:r>
          </w:p>
        </w:tc>
      </w:tr>
      <w:tr w:rsidR="0017417D" w:rsidRPr="005A1F10" w:rsidTr="002324A1">
        <w:trPr>
          <w:cnfStyle w:val="000000100000"/>
          <w:trHeight w:val="336"/>
        </w:trPr>
        <w:tc>
          <w:tcPr>
            <w:cnfStyle w:val="001000000000"/>
            <w:tcW w:w="3227" w:type="dxa"/>
            <w:tcBorders>
              <w:right w:val="single" w:sz="4" w:space="0" w:color="auto"/>
            </w:tcBorders>
          </w:tcPr>
          <w:p w:rsidR="0017417D" w:rsidRPr="00A21BA9" w:rsidRDefault="0017417D" w:rsidP="004D272A">
            <w:pPr>
              <w:rPr>
                <w:rFonts w:ascii="Arial" w:hAnsi="Arial" w:cs="Arial"/>
                <w:b w:val="0"/>
                <w:sz w:val="24"/>
                <w:szCs w:val="24"/>
              </w:rPr>
            </w:pPr>
            <w:r w:rsidRPr="00A21BA9">
              <w:rPr>
                <w:rFonts w:ascii="Arial" w:hAnsi="Arial" w:cs="Arial"/>
                <w:b w:val="0"/>
                <w:sz w:val="24"/>
                <w:szCs w:val="24"/>
              </w:rPr>
              <w:t>Sexo masculino</w:t>
            </w:r>
          </w:p>
        </w:tc>
        <w:tc>
          <w:tcPr>
            <w:tcW w:w="1843" w:type="dxa"/>
            <w:tcBorders>
              <w:left w:val="single" w:sz="4" w:space="0" w:color="auto"/>
              <w:right w:val="single" w:sz="4" w:space="0" w:color="auto"/>
            </w:tcBorders>
          </w:tcPr>
          <w:p w:rsidR="0017417D" w:rsidRPr="00A21BA9" w:rsidRDefault="0017417D" w:rsidP="00B67616">
            <w:pPr>
              <w:cnfStyle w:val="000000100000"/>
              <w:rPr>
                <w:rFonts w:ascii="Arial" w:hAnsi="Arial" w:cs="Arial"/>
                <w:sz w:val="24"/>
                <w:szCs w:val="24"/>
              </w:rPr>
            </w:pPr>
            <w:r>
              <w:rPr>
                <w:rFonts w:ascii="Arial" w:hAnsi="Arial" w:cs="Arial"/>
                <w:sz w:val="24"/>
                <w:szCs w:val="24"/>
              </w:rPr>
              <w:t>12</w:t>
            </w:r>
            <w:r w:rsidR="00B67616">
              <w:rPr>
                <w:rFonts w:ascii="Arial" w:hAnsi="Arial" w:cs="Arial"/>
                <w:sz w:val="24"/>
                <w:szCs w:val="24"/>
              </w:rPr>
              <w:t>7</w:t>
            </w:r>
            <w:r w:rsidRPr="00A21BA9">
              <w:rPr>
                <w:rFonts w:ascii="Arial" w:hAnsi="Arial" w:cs="Arial"/>
                <w:sz w:val="24"/>
                <w:szCs w:val="24"/>
              </w:rPr>
              <w:t xml:space="preserve"> (</w:t>
            </w:r>
            <w:r w:rsidR="00B67616">
              <w:rPr>
                <w:rFonts w:ascii="Arial" w:hAnsi="Arial" w:cs="Arial"/>
                <w:sz w:val="24"/>
                <w:szCs w:val="24"/>
              </w:rPr>
              <w:t>53,36</w:t>
            </w:r>
            <w:r w:rsidRPr="00A21BA9">
              <w:rPr>
                <w:rFonts w:ascii="Arial" w:hAnsi="Arial" w:cs="Arial"/>
                <w:sz w:val="24"/>
                <w:szCs w:val="24"/>
              </w:rPr>
              <w:t>%)</w:t>
            </w:r>
          </w:p>
        </w:tc>
        <w:tc>
          <w:tcPr>
            <w:tcW w:w="1842" w:type="dxa"/>
            <w:tcBorders>
              <w:left w:val="single" w:sz="4" w:space="0" w:color="auto"/>
              <w:right w:val="single" w:sz="4" w:space="0" w:color="auto"/>
            </w:tcBorders>
          </w:tcPr>
          <w:p w:rsidR="0017417D" w:rsidRPr="00A21BA9" w:rsidRDefault="0017417D" w:rsidP="004D272A">
            <w:pPr>
              <w:cnfStyle w:val="000000100000"/>
              <w:rPr>
                <w:rFonts w:ascii="Arial" w:hAnsi="Arial" w:cs="Arial"/>
                <w:sz w:val="24"/>
                <w:szCs w:val="24"/>
              </w:rPr>
            </w:pPr>
            <w:r>
              <w:rPr>
                <w:rFonts w:ascii="Arial" w:hAnsi="Arial" w:cs="Arial"/>
                <w:sz w:val="24"/>
                <w:szCs w:val="24"/>
              </w:rPr>
              <w:t>36</w:t>
            </w:r>
            <w:r w:rsidR="00B67616">
              <w:rPr>
                <w:rFonts w:ascii="Arial" w:hAnsi="Arial" w:cs="Arial"/>
                <w:sz w:val="24"/>
                <w:szCs w:val="24"/>
              </w:rPr>
              <w:t xml:space="preserve"> (45,</w:t>
            </w:r>
            <w:r>
              <w:rPr>
                <w:rFonts w:ascii="Arial" w:hAnsi="Arial" w:cs="Arial"/>
                <w:sz w:val="24"/>
                <w:szCs w:val="24"/>
              </w:rPr>
              <w:t>57</w:t>
            </w:r>
            <w:r w:rsidRPr="00A21BA9">
              <w:rPr>
                <w:rFonts w:ascii="Arial" w:hAnsi="Arial" w:cs="Arial"/>
                <w:sz w:val="24"/>
                <w:szCs w:val="24"/>
              </w:rPr>
              <w:t>%)</w:t>
            </w:r>
          </w:p>
        </w:tc>
        <w:tc>
          <w:tcPr>
            <w:tcW w:w="1843" w:type="dxa"/>
            <w:tcBorders>
              <w:left w:val="single" w:sz="4" w:space="0" w:color="auto"/>
              <w:right w:val="single" w:sz="4" w:space="0" w:color="auto"/>
            </w:tcBorders>
          </w:tcPr>
          <w:p w:rsidR="0017417D" w:rsidRPr="00A21BA9" w:rsidRDefault="0017417D" w:rsidP="004D272A">
            <w:pPr>
              <w:cnfStyle w:val="000000100000"/>
              <w:rPr>
                <w:rFonts w:ascii="Arial" w:hAnsi="Arial" w:cs="Arial"/>
                <w:sz w:val="24"/>
                <w:szCs w:val="24"/>
              </w:rPr>
            </w:pPr>
            <w:r>
              <w:rPr>
                <w:rFonts w:ascii="Arial" w:hAnsi="Arial" w:cs="Arial"/>
                <w:sz w:val="24"/>
                <w:szCs w:val="24"/>
              </w:rPr>
              <w:t>32</w:t>
            </w:r>
            <w:r w:rsidR="00B67616">
              <w:rPr>
                <w:rFonts w:ascii="Arial" w:hAnsi="Arial" w:cs="Arial"/>
                <w:sz w:val="24"/>
                <w:szCs w:val="24"/>
              </w:rPr>
              <w:t xml:space="preserve"> (40,</w:t>
            </w:r>
            <w:r>
              <w:rPr>
                <w:rFonts w:ascii="Arial" w:hAnsi="Arial" w:cs="Arial"/>
                <w:sz w:val="24"/>
                <w:szCs w:val="24"/>
              </w:rPr>
              <w:t>51</w:t>
            </w:r>
            <w:r w:rsidRPr="00A21BA9">
              <w:rPr>
                <w:rFonts w:ascii="Arial" w:hAnsi="Arial" w:cs="Arial"/>
                <w:sz w:val="24"/>
                <w:szCs w:val="24"/>
              </w:rPr>
              <w:t>%)</w:t>
            </w:r>
          </w:p>
        </w:tc>
        <w:tc>
          <w:tcPr>
            <w:tcW w:w="1843" w:type="dxa"/>
            <w:tcBorders>
              <w:left w:val="single" w:sz="4" w:space="0" w:color="auto"/>
              <w:right w:val="single" w:sz="4" w:space="0" w:color="auto"/>
            </w:tcBorders>
          </w:tcPr>
          <w:p w:rsidR="0017417D" w:rsidRPr="00A21BA9" w:rsidRDefault="0017417D" w:rsidP="004D272A">
            <w:pPr>
              <w:cnfStyle w:val="000000100000"/>
              <w:rPr>
                <w:rFonts w:ascii="Arial" w:hAnsi="Arial" w:cs="Arial"/>
                <w:sz w:val="24"/>
                <w:szCs w:val="24"/>
              </w:rPr>
            </w:pPr>
            <w:r>
              <w:rPr>
                <w:rFonts w:ascii="Arial" w:hAnsi="Arial" w:cs="Arial"/>
                <w:sz w:val="24"/>
                <w:szCs w:val="24"/>
              </w:rPr>
              <w:t>59</w:t>
            </w:r>
            <w:r w:rsidR="00B67616">
              <w:rPr>
                <w:rFonts w:ascii="Arial" w:hAnsi="Arial" w:cs="Arial"/>
                <w:sz w:val="24"/>
                <w:szCs w:val="24"/>
              </w:rPr>
              <w:t xml:space="preserve"> (73,</w:t>
            </w:r>
            <w:r>
              <w:rPr>
                <w:rFonts w:ascii="Arial" w:hAnsi="Arial" w:cs="Arial"/>
                <w:sz w:val="24"/>
                <w:szCs w:val="24"/>
              </w:rPr>
              <w:t>75</w:t>
            </w:r>
            <w:r w:rsidRPr="00A21BA9">
              <w:rPr>
                <w:rFonts w:ascii="Arial" w:hAnsi="Arial" w:cs="Arial"/>
                <w:sz w:val="24"/>
                <w:szCs w:val="24"/>
              </w:rPr>
              <w:t>%)</w:t>
            </w:r>
          </w:p>
        </w:tc>
        <w:tc>
          <w:tcPr>
            <w:tcW w:w="992" w:type="dxa"/>
            <w:tcBorders>
              <w:left w:val="single" w:sz="4" w:space="0" w:color="auto"/>
            </w:tcBorders>
          </w:tcPr>
          <w:p w:rsidR="0017417D" w:rsidRPr="005A1F10" w:rsidRDefault="0017417D" w:rsidP="004D272A">
            <w:pPr>
              <w:cnfStyle w:val="000000100000"/>
              <w:rPr>
                <w:rFonts w:ascii="Arial" w:hAnsi="Arial" w:cs="Arial"/>
                <w:sz w:val="24"/>
                <w:szCs w:val="24"/>
              </w:rPr>
            </w:pPr>
            <w:r>
              <w:rPr>
                <w:rFonts w:ascii="Arial" w:hAnsi="Arial" w:cs="Arial"/>
                <w:sz w:val="24"/>
                <w:szCs w:val="24"/>
              </w:rPr>
              <w:t>0,647</w:t>
            </w:r>
          </w:p>
        </w:tc>
      </w:tr>
      <w:tr w:rsidR="0017417D" w:rsidRPr="005A1F10" w:rsidTr="002324A1">
        <w:trPr>
          <w:trHeight w:val="318"/>
        </w:trPr>
        <w:tc>
          <w:tcPr>
            <w:cnfStyle w:val="001000000000"/>
            <w:tcW w:w="3227" w:type="dxa"/>
            <w:tcBorders>
              <w:right w:val="single" w:sz="4" w:space="0" w:color="auto"/>
            </w:tcBorders>
          </w:tcPr>
          <w:p w:rsidR="0017417D" w:rsidRPr="00A21BA9" w:rsidRDefault="0017417D" w:rsidP="004D272A">
            <w:pPr>
              <w:rPr>
                <w:rFonts w:ascii="Arial" w:hAnsi="Arial" w:cs="Arial"/>
                <w:b w:val="0"/>
                <w:sz w:val="24"/>
                <w:szCs w:val="24"/>
              </w:rPr>
            </w:pPr>
            <w:r w:rsidRPr="00A21BA9">
              <w:rPr>
                <w:rFonts w:ascii="Arial" w:hAnsi="Arial" w:cs="Arial"/>
                <w:b w:val="0"/>
                <w:sz w:val="24"/>
                <w:szCs w:val="24"/>
              </w:rPr>
              <w:t>Hábito de fumar</w:t>
            </w:r>
          </w:p>
        </w:tc>
        <w:tc>
          <w:tcPr>
            <w:tcW w:w="1843" w:type="dxa"/>
            <w:tcBorders>
              <w:left w:val="single" w:sz="4" w:space="0" w:color="auto"/>
              <w:right w:val="single" w:sz="4" w:space="0" w:color="auto"/>
            </w:tcBorders>
          </w:tcPr>
          <w:p w:rsidR="0017417D" w:rsidRPr="00A21BA9" w:rsidRDefault="0017417D" w:rsidP="004D272A">
            <w:pPr>
              <w:cnfStyle w:val="000000000000"/>
              <w:rPr>
                <w:rFonts w:ascii="Arial" w:hAnsi="Arial" w:cs="Arial"/>
                <w:sz w:val="24"/>
                <w:szCs w:val="24"/>
              </w:rPr>
            </w:pPr>
            <w:r>
              <w:rPr>
                <w:rFonts w:ascii="Arial" w:hAnsi="Arial" w:cs="Arial"/>
                <w:sz w:val="24"/>
                <w:szCs w:val="24"/>
              </w:rPr>
              <w:t>58</w:t>
            </w:r>
            <w:r w:rsidR="00B67616">
              <w:rPr>
                <w:rFonts w:ascii="Arial" w:hAnsi="Arial" w:cs="Arial"/>
                <w:sz w:val="24"/>
                <w:szCs w:val="24"/>
              </w:rPr>
              <w:t xml:space="preserve"> (24,</w:t>
            </w:r>
            <w:r>
              <w:rPr>
                <w:rFonts w:ascii="Arial" w:hAnsi="Arial" w:cs="Arial"/>
                <w:sz w:val="24"/>
                <w:szCs w:val="24"/>
              </w:rPr>
              <w:t>3</w:t>
            </w:r>
            <w:r w:rsidRPr="00A21BA9">
              <w:rPr>
                <w:rFonts w:ascii="Arial" w:hAnsi="Arial" w:cs="Arial"/>
                <w:sz w:val="24"/>
                <w:szCs w:val="24"/>
              </w:rPr>
              <w:t>1%)</w:t>
            </w:r>
          </w:p>
        </w:tc>
        <w:tc>
          <w:tcPr>
            <w:tcW w:w="1842" w:type="dxa"/>
            <w:tcBorders>
              <w:left w:val="single" w:sz="4" w:space="0" w:color="auto"/>
              <w:right w:val="single" w:sz="4" w:space="0" w:color="auto"/>
            </w:tcBorders>
          </w:tcPr>
          <w:p w:rsidR="0017417D" w:rsidRPr="00A21BA9" w:rsidRDefault="0017417D" w:rsidP="004D272A">
            <w:pPr>
              <w:cnfStyle w:val="000000000000"/>
              <w:rPr>
                <w:rFonts w:ascii="Arial" w:hAnsi="Arial" w:cs="Arial"/>
                <w:sz w:val="24"/>
                <w:szCs w:val="24"/>
              </w:rPr>
            </w:pPr>
            <w:r>
              <w:rPr>
                <w:rFonts w:ascii="Arial" w:hAnsi="Arial" w:cs="Arial"/>
                <w:sz w:val="24"/>
                <w:szCs w:val="24"/>
              </w:rPr>
              <w:t>25</w:t>
            </w:r>
            <w:r w:rsidRPr="00A21BA9">
              <w:rPr>
                <w:rFonts w:ascii="Arial" w:hAnsi="Arial" w:cs="Arial"/>
                <w:sz w:val="24"/>
                <w:szCs w:val="24"/>
              </w:rPr>
              <w:t xml:space="preserve"> (3</w:t>
            </w:r>
            <w:r>
              <w:rPr>
                <w:rFonts w:ascii="Arial" w:hAnsi="Arial" w:cs="Arial"/>
                <w:sz w:val="24"/>
                <w:szCs w:val="24"/>
              </w:rPr>
              <w:t>1</w:t>
            </w:r>
            <w:r w:rsidR="00B67616">
              <w:rPr>
                <w:rFonts w:ascii="Arial" w:hAnsi="Arial" w:cs="Arial"/>
                <w:sz w:val="24"/>
                <w:szCs w:val="24"/>
              </w:rPr>
              <w:t>,</w:t>
            </w:r>
            <w:r>
              <w:rPr>
                <w:rFonts w:ascii="Arial" w:hAnsi="Arial" w:cs="Arial"/>
                <w:sz w:val="24"/>
                <w:szCs w:val="24"/>
              </w:rPr>
              <w:t>66</w:t>
            </w:r>
            <w:r w:rsidRPr="00A21BA9">
              <w:rPr>
                <w:rFonts w:ascii="Arial" w:hAnsi="Arial" w:cs="Arial"/>
                <w:sz w:val="24"/>
                <w:szCs w:val="24"/>
              </w:rPr>
              <w:t>%)</w:t>
            </w:r>
          </w:p>
        </w:tc>
        <w:tc>
          <w:tcPr>
            <w:tcW w:w="1843" w:type="dxa"/>
            <w:tcBorders>
              <w:left w:val="single" w:sz="4" w:space="0" w:color="auto"/>
              <w:right w:val="single" w:sz="4" w:space="0" w:color="auto"/>
            </w:tcBorders>
          </w:tcPr>
          <w:p w:rsidR="0017417D" w:rsidRPr="00A21BA9" w:rsidRDefault="00B67616" w:rsidP="004D272A">
            <w:pPr>
              <w:cnfStyle w:val="000000000000"/>
              <w:rPr>
                <w:rFonts w:ascii="Arial" w:hAnsi="Arial" w:cs="Arial"/>
                <w:sz w:val="24"/>
                <w:szCs w:val="24"/>
              </w:rPr>
            </w:pPr>
            <w:r>
              <w:rPr>
                <w:rFonts w:ascii="Arial" w:hAnsi="Arial" w:cs="Arial"/>
                <w:sz w:val="24"/>
                <w:szCs w:val="24"/>
              </w:rPr>
              <w:t>22 (27,</w:t>
            </w:r>
            <w:r w:rsidR="0017417D">
              <w:rPr>
                <w:rFonts w:ascii="Arial" w:hAnsi="Arial" w:cs="Arial"/>
                <w:sz w:val="24"/>
                <w:szCs w:val="24"/>
              </w:rPr>
              <w:t>85</w:t>
            </w:r>
            <w:r w:rsidR="0017417D" w:rsidRPr="00A21BA9">
              <w:rPr>
                <w:rFonts w:ascii="Arial" w:hAnsi="Arial" w:cs="Arial"/>
                <w:sz w:val="24"/>
                <w:szCs w:val="24"/>
              </w:rPr>
              <w:t>%)</w:t>
            </w:r>
          </w:p>
        </w:tc>
        <w:tc>
          <w:tcPr>
            <w:tcW w:w="1843" w:type="dxa"/>
            <w:tcBorders>
              <w:left w:val="single" w:sz="4" w:space="0" w:color="auto"/>
              <w:right w:val="single" w:sz="4" w:space="0" w:color="auto"/>
            </w:tcBorders>
          </w:tcPr>
          <w:p w:rsidR="0017417D" w:rsidRPr="00A21BA9" w:rsidRDefault="0017417D" w:rsidP="004D272A">
            <w:pPr>
              <w:cnfStyle w:val="000000000000"/>
              <w:rPr>
                <w:rFonts w:ascii="Arial" w:hAnsi="Arial" w:cs="Arial"/>
                <w:sz w:val="24"/>
                <w:szCs w:val="24"/>
              </w:rPr>
            </w:pPr>
            <w:r>
              <w:rPr>
                <w:rFonts w:ascii="Arial" w:hAnsi="Arial" w:cs="Arial"/>
                <w:sz w:val="24"/>
                <w:szCs w:val="24"/>
              </w:rPr>
              <w:t>11</w:t>
            </w:r>
            <w:r w:rsidR="00B67616">
              <w:rPr>
                <w:rFonts w:ascii="Arial" w:hAnsi="Arial" w:cs="Arial"/>
                <w:sz w:val="24"/>
                <w:szCs w:val="24"/>
              </w:rPr>
              <w:t xml:space="preserve"> (13,</w:t>
            </w:r>
            <w:r>
              <w:rPr>
                <w:rFonts w:ascii="Arial" w:hAnsi="Arial" w:cs="Arial"/>
                <w:sz w:val="24"/>
                <w:szCs w:val="24"/>
              </w:rPr>
              <w:t>75</w:t>
            </w:r>
            <w:r w:rsidRPr="00A21BA9">
              <w:rPr>
                <w:rFonts w:ascii="Arial" w:hAnsi="Arial" w:cs="Arial"/>
                <w:sz w:val="24"/>
                <w:szCs w:val="24"/>
              </w:rPr>
              <w:t>%)</w:t>
            </w:r>
          </w:p>
        </w:tc>
        <w:tc>
          <w:tcPr>
            <w:tcW w:w="992" w:type="dxa"/>
            <w:tcBorders>
              <w:left w:val="single" w:sz="4" w:space="0" w:color="auto"/>
            </w:tcBorders>
          </w:tcPr>
          <w:p w:rsidR="0017417D" w:rsidRPr="005A1F10" w:rsidRDefault="0017417D" w:rsidP="004D272A">
            <w:pPr>
              <w:cnfStyle w:val="000000000000"/>
              <w:rPr>
                <w:rFonts w:ascii="Arial" w:hAnsi="Arial" w:cs="Arial"/>
                <w:sz w:val="24"/>
                <w:szCs w:val="24"/>
              </w:rPr>
            </w:pPr>
            <w:r>
              <w:rPr>
                <w:rFonts w:ascii="Arial" w:hAnsi="Arial" w:cs="Arial"/>
                <w:sz w:val="24"/>
                <w:szCs w:val="24"/>
              </w:rPr>
              <w:t>0,465</w:t>
            </w:r>
          </w:p>
        </w:tc>
      </w:tr>
      <w:tr w:rsidR="0017417D" w:rsidRPr="005A1F10" w:rsidTr="002324A1">
        <w:trPr>
          <w:cnfStyle w:val="000000100000"/>
          <w:trHeight w:val="318"/>
        </w:trPr>
        <w:tc>
          <w:tcPr>
            <w:cnfStyle w:val="001000000000"/>
            <w:tcW w:w="3227" w:type="dxa"/>
            <w:tcBorders>
              <w:right w:val="single" w:sz="4" w:space="0" w:color="auto"/>
            </w:tcBorders>
          </w:tcPr>
          <w:p w:rsidR="0017417D" w:rsidRPr="00BF6101" w:rsidRDefault="0017417D" w:rsidP="004D272A">
            <w:pPr>
              <w:rPr>
                <w:rFonts w:ascii="Arial" w:hAnsi="Arial" w:cs="Arial"/>
                <w:b w:val="0"/>
                <w:sz w:val="24"/>
                <w:szCs w:val="24"/>
              </w:rPr>
            </w:pPr>
            <w:r w:rsidRPr="00BF6101">
              <w:rPr>
                <w:rFonts w:ascii="Arial" w:hAnsi="Arial" w:cs="Arial"/>
                <w:b w:val="0"/>
                <w:sz w:val="24"/>
                <w:szCs w:val="24"/>
              </w:rPr>
              <w:t>Diabetes Mellitus</w:t>
            </w:r>
          </w:p>
        </w:tc>
        <w:tc>
          <w:tcPr>
            <w:tcW w:w="1843" w:type="dxa"/>
            <w:tcBorders>
              <w:left w:val="single" w:sz="4" w:space="0" w:color="auto"/>
              <w:right w:val="single" w:sz="4" w:space="0" w:color="auto"/>
            </w:tcBorders>
          </w:tcPr>
          <w:p w:rsidR="0017417D" w:rsidRPr="00363572" w:rsidRDefault="0017417D" w:rsidP="00B67616">
            <w:pPr>
              <w:cnfStyle w:val="000000100000"/>
              <w:rPr>
                <w:rFonts w:ascii="Arial" w:hAnsi="Arial" w:cs="Arial"/>
                <w:sz w:val="24"/>
                <w:szCs w:val="24"/>
              </w:rPr>
            </w:pPr>
            <w:r>
              <w:rPr>
                <w:rFonts w:ascii="Arial" w:hAnsi="Arial" w:cs="Arial"/>
                <w:sz w:val="24"/>
                <w:szCs w:val="24"/>
              </w:rPr>
              <w:t>7</w:t>
            </w:r>
            <w:r w:rsidR="00B67616">
              <w:rPr>
                <w:rFonts w:ascii="Arial" w:hAnsi="Arial" w:cs="Arial"/>
                <w:sz w:val="24"/>
                <w:szCs w:val="24"/>
              </w:rPr>
              <w:t>8</w:t>
            </w:r>
            <w:r>
              <w:rPr>
                <w:rFonts w:ascii="Arial" w:hAnsi="Arial" w:cs="Arial"/>
                <w:sz w:val="24"/>
                <w:szCs w:val="24"/>
              </w:rPr>
              <w:t xml:space="preserve"> (3</w:t>
            </w:r>
            <w:r w:rsidR="00B67616">
              <w:rPr>
                <w:rFonts w:ascii="Arial" w:hAnsi="Arial" w:cs="Arial"/>
                <w:sz w:val="24"/>
                <w:szCs w:val="24"/>
              </w:rPr>
              <w:t>2,77</w:t>
            </w:r>
            <w:r>
              <w:rPr>
                <w:rFonts w:ascii="Arial" w:hAnsi="Arial" w:cs="Arial"/>
                <w:sz w:val="24"/>
                <w:szCs w:val="24"/>
              </w:rPr>
              <w:t>%)</w:t>
            </w:r>
          </w:p>
        </w:tc>
        <w:tc>
          <w:tcPr>
            <w:tcW w:w="1842" w:type="dxa"/>
            <w:tcBorders>
              <w:left w:val="single" w:sz="4" w:space="0" w:color="auto"/>
              <w:right w:val="single" w:sz="4" w:space="0" w:color="auto"/>
            </w:tcBorders>
          </w:tcPr>
          <w:p w:rsidR="0017417D" w:rsidRPr="00363572" w:rsidRDefault="00B67616" w:rsidP="004D272A">
            <w:pPr>
              <w:cnfStyle w:val="000000100000"/>
              <w:rPr>
                <w:rFonts w:ascii="Arial" w:hAnsi="Arial" w:cs="Arial"/>
                <w:sz w:val="24"/>
                <w:szCs w:val="24"/>
              </w:rPr>
            </w:pPr>
            <w:r>
              <w:rPr>
                <w:rFonts w:ascii="Arial" w:hAnsi="Arial" w:cs="Arial"/>
                <w:sz w:val="24"/>
                <w:szCs w:val="24"/>
              </w:rPr>
              <w:t>31 (39,</w:t>
            </w:r>
            <w:r w:rsidR="0017417D">
              <w:rPr>
                <w:rFonts w:ascii="Arial" w:hAnsi="Arial" w:cs="Arial"/>
                <w:sz w:val="24"/>
                <w:szCs w:val="24"/>
              </w:rPr>
              <w:t>24%)</w:t>
            </w:r>
          </w:p>
        </w:tc>
        <w:tc>
          <w:tcPr>
            <w:tcW w:w="1843" w:type="dxa"/>
            <w:tcBorders>
              <w:left w:val="single" w:sz="4" w:space="0" w:color="auto"/>
              <w:right w:val="single" w:sz="4" w:space="0" w:color="auto"/>
            </w:tcBorders>
          </w:tcPr>
          <w:p w:rsidR="0017417D" w:rsidRPr="00363572" w:rsidRDefault="00B67616" w:rsidP="004D272A">
            <w:pPr>
              <w:cnfStyle w:val="000000100000"/>
              <w:rPr>
                <w:rFonts w:ascii="Arial" w:hAnsi="Arial" w:cs="Arial"/>
                <w:sz w:val="24"/>
                <w:szCs w:val="24"/>
              </w:rPr>
            </w:pPr>
            <w:r>
              <w:rPr>
                <w:rFonts w:ascii="Arial" w:hAnsi="Arial" w:cs="Arial"/>
                <w:sz w:val="24"/>
                <w:szCs w:val="24"/>
              </w:rPr>
              <w:t>28 (35,</w:t>
            </w:r>
            <w:r w:rsidR="0017417D">
              <w:rPr>
                <w:rFonts w:ascii="Arial" w:hAnsi="Arial" w:cs="Arial"/>
                <w:sz w:val="24"/>
                <w:szCs w:val="24"/>
              </w:rPr>
              <w:t>44%)</w:t>
            </w:r>
          </w:p>
        </w:tc>
        <w:tc>
          <w:tcPr>
            <w:tcW w:w="1843" w:type="dxa"/>
            <w:tcBorders>
              <w:left w:val="single" w:sz="4" w:space="0" w:color="auto"/>
              <w:right w:val="single" w:sz="4" w:space="0" w:color="auto"/>
            </w:tcBorders>
          </w:tcPr>
          <w:p w:rsidR="0017417D" w:rsidRPr="00363572" w:rsidRDefault="00B67616" w:rsidP="004D272A">
            <w:pPr>
              <w:cnfStyle w:val="000000100000"/>
              <w:rPr>
                <w:rFonts w:ascii="Arial" w:hAnsi="Arial" w:cs="Arial"/>
                <w:sz w:val="24"/>
                <w:szCs w:val="24"/>
              </w:rPr>
            </w:pPr>
            <w:r>
              <w:rPr>
                <w:rFonts w:ascii="Arial" w:hAnsi="Arial" w:cs="Arial"/>
                <w:sz w:val="24"/>
                <w:szCs w:val="24"/>
              </w:rPr>
              <w:t>19 (23,</w:t>
            </w:r>
            <w:r w:rsidR="0017417D">
              <w:rPr>
                <w:rFonts w:ascii="Arial" w:hAnsi="Arial" w:cs="Arial"/>
                <w:sz w:val="24"/>
                <w:szCs w:val="24"/>
              </w:rPr>
              <w:t>75%)</w:t>
            </w:r>
          </w:p>
        </w:tc>
        <w:tc>
          <w:tcPr>
            <w:tcW w:w="992" w:type="dxa"/>
            <w:tcBorders>
              <w:left w:val="single" w:sz="4" w:space="0" w:color="auto"/>
            </w:tcBorders>
          </w:tcPr>
          <w:p w:rsidR="0017417D" w:rsidRPr="005A1F10" w:rsidRDefault="0017417D" w:rsidP="004D272A">
            <w:pPr>
              <w:cnfStyle w:val="000000100000"/>
              <w:rPr>
                <w:rFonts w:ascii="Arial" w:hAnsi="Arial" w:cs="Arial"/>
                <w:sz w:val="24"/>
                <w:szCs w:val="24"/>
              </w:rPr>
            </w:pPr>
            <w:r>
              <w:rPr>
                <w:rFonts w:ascii="Arial" w:hAnsi="Arial" w:cs="Arial"/>
                <w:sz w:val="24"/>
                <w:szCs w:val="24"/>
              </w:rPr>
              <w:t>0,096</w:t>
            </w:r>
          </w:p>
        </w:tc>
      </w:tr>
      <w:tr w:rsidR="0017417D" w:rsidRPr="005A1F10" w:rsidTr="002324A1">
        <w:trPr>
          <w:trHeight w:val="318"/>
        </w:trPr>
        <w:tc>
          <w:tcPr>
            <w:cnfStyle w:val="001000000000"/>
            <w:tcW w:w="3227" w:type="dxa"/>
            <w:tcBorders>
              <w:right w:val="single" w:sz="4" w:space="0" w:color="auto"/>
            </w:tcBorders>
          </w:tcPr>
          <w:p w:rsidR="0017417D" w:rsidRPr="00BF6101" w:rsidRDefault="0017417D" w:rsidP="004D272A">
            <w:pPr>
              <w:rPr>
                <w:rFonts w:ascii="Arial" w:hAnsi="Arial" w:cs="Arial"/>
                <w:b w:val="0"/>
                <w:sz w:val="24"/>
                <w:szCs w:val="24"/>
              </w:rPr>
            </w:pPr>
            <w:r w:rsidRPr="00BF6101">
              <w:rPr>
                <w:rFonts w:ascii="Arial" w:hAnsi="Arial" w:cs="Arial"/>
                <w:b w:val="0"/>
                <w:sz w:val="24"/>
                <w:szCs w:val="24"/>
              </w:rPr>
              <w:t>Hipertensión arterial</w:t>
            </w:r>
          </w:p>
        </w:tc>
        <w:tc>
          <w:tcPr>
            <w:tcW w:w="1843" w:type="dxa"/>
            <w:tcBorders>
              <w:left w:val="single" w:sz="4" w:space="0" w:color="auto"/>
              <w:right w:val="single" w:sz="4" w:space="0" w:color="auto"/>
            </w:tcBorders>
          </w:tcPr>
          <w:p w:rsidR="0017417D" w:rsidRPr="00363572" w:rsidRDefault="00B67616" w:rsidP="004D272A">
            <w:pPr>
              <w:cnfStyle w:val="000000000000"/>
              <w:rPr>
                <w:rFonts w:ascii="Arial" w:hAnsi="Arial" w:cs="Arial"/>
                <w:sz w:val="24"/>
                <w:szCs w:val="24"/>
              </w:rPr>
            </w:pPr>
            <w:r>
              <w:rPr>
                <w:rFonts w:ascii="Arial" w:hAnsi="Arial" w:cs="Arial"/>
                <w:sz w:val="24"/>
                <w:szCs w:val="24"/>
              </w:rPr>
              <w:t>106 (44,</w:t>
            </w:r>
            <w:r w:rsidR="0017417D">
              <w:rPr>
                <w:rFonts w:ascii="Arial" w:hAnsi="Arial" w:cs="Arial"/>
                <w:sz w:val="24"/>
                <w:szCs w:val="24"/>
              </w:rPr>
              <w:t>54%)</w:t>
            </w:r>
          </w:p>
        </w:tc>
        <w:tc>
          <w:tcPr>
            <w:tcW w:w="1842" w:type="dxa"/>
            <w:tcBorders>
              <w:left w:val="single" w:sz="4" w:space="0" w:color="auto"/>
              <w:right w:val="single" w:sz="4" w:space="0" w:color="auto"/>
            </w:tcBorders>
          </w:tcPr>
          <w:p w:rsidR="0017417D" w:rsidRPr="00363572" w:rsidRDefault="00B67616" w:rsidP="004D272A">
            <w:pPr>
              <w:cnfStyle w:val="000000000000"/>
              <w:rPr>
                <w:rFonts w:ascii="Arial" w:hAnsi="Arial" w:cs="Arial"/>
                <w:sz w:val="24"/>
                <w:szCs w:val="24"/>
              </w:rPr>
            </w:pPr>
            <w:r>
              <w:rPr>
                <w:rFonts w:ascii="Arial" w:hAnsi="Arial" w:cs="Arial"/>
                <w:sz w:val="24"/>
                <w:szCs w:val="24"/>
              </w:rPr>
              <w:t>25 (31,</w:t>
            </w:r>
            <w:r w:rsidR="0017417D">
              <w:rPr>
                <w:rFonts w:ascii="Arial" w:hAnsi="Arial" w:cs="Arial"/>
                <w:sz w:val="24"/>
                <w:szCs w:val="24"/>
              </w:rPr>
              <w:t>65%)</w:t>
            </w:r>
          </w:p>
        </w:tc>
        <w:tc>
          <w:tcPr>
            <w:tcW w:w="1843" w:type="dxa"/>
            <w:tcBorders>
              <w:left w:val="single" w:sz="4" w:space="0" w:color="auto"/>
              <w:right w:val="single" w:sz="4" w:space="0" w:color="auto"/>
            </w:tcBorders>
          </w:tcPr>
          <w:p w:rsidR="0017417D" w:rsidRPr="00363572" w:rsidRDefault="0017417D" w:rsidP="004D272A">
            <w:pPr>
              <w:cnfStyle w:val="000000000000"/>
              <w:rPr>
                <w:rFonts w:ascii="Arial" w:hAnsi="Arial" w:cs="Arial"/>
                <w:sz w:val="24"/>
                <w:szCs w:val="24"/>
              </w:rPr>
            </w:pPr>
            <w:r>
              <w:rPr>
                <w:rFonts w:ascii="Arial" w:hAnsi="Arial" w:cs="Arial"/>
                <w:sz w:val="24"/>
                <w:szCs w:val="24"/>
              </w:rPr>
              <w:t>15</w:t>
            </w:r>
            <w:r w:rsidR="00B67616">
              <w:rPr>
                <w:rFonts w:ascii="Arial" w:hAnsi="Arial" w:cs="Arial"/>
                <w:sz w:val="24"/>
                <w:szCs w:val="24"/>
              </w:rPr>
              <w:t xml:space="preserve"> (18,</w:t>
            </w:r>
            <w:r>
              <w:rPr>
                <w:rFonts w:ascii="Arial" w:hAnsi="Arial" w:cs="Arial"/>
                <w:sz w:val="24"/>
                <w:szCs w:val="24"/>
              </w:rPr>
              <w:t>99%)</w:t>
            </w:r>
          </w:p>
        </w:tc>
        <w:tc>
          <w:tcPr>
            <w:tcW w:w="1843" w:type="dxa"/>
            <w:tcBorders>
              <w:left w:val="single" w:sz="4" w:space="0" w:color="auto"/>
              <w:right w:val="single" w:sz="4" w:space="0" w:color="auto"/>
            </w:tcBorders>
          </w:tcPr>
          <w:p w:rsidR="0017417D" w:rsidRPr="00363572" w:rsidRDefault="00B67616" w:rsidP="004D272A">
            <w:pPr>
              <w:cnfStyle w:val="000000000000"/>
              <w:rPr>
                <w:rFonts w:ascii="Arial" w:hAnsi="Arial" w:cs="Arial"/>
                <w:sz w:val="24"/>
                <w:szCs w:val="24"/>
              </w:rPr>
            </w:pPr>
            <w:r>
              <w:rPr>
                <w:rFonts w:ascii="Arial" w:hAnsi="Arial" w:cs="Arial"/>
                <w:sz w:val="24"/>
                <w:szCs w:val="24"/>
              </w:rPr>
              <w:t>66 (82,</w:t>
            </w:r>
            <w:r w:rsidR="0017417D">
              <w:rPr>
                <w:rFonts w:ascii="Arial" w:hAnsi="Arial" w:cs="Arial"/>
                <w:sz w:val="24"/>
                <w:szCs w:val="24"/>
              </w:rPr>
              <w:t>50%)</w:t>
            </w:r>
          </w:p>
        </w:tc>
        <w:tc>
          <w:tcPr>
            <w:tcW w:w="992" w:type="dxa"/>
            <w:tcBorders>
              <w:left w:val="single" w:sz="4" w:space="0" w:color="auto"/>
            </w:tcBorders>
          </w:tcPr>
          <w:p w:rsidR="0017417D" w:rsidRPr="00B67616" w:rsidRDefault="00650778" w:rsidP="004D272A">
            <w:pPr>
              <w:cnfStyle w:val="000000000000"/>
              <w:rPr>
                <w:rFonts w:ascii="Arial" w:hAnsi="Arial" w:cs="Arial"/>
                <w:b/>
                <w:sz w:val="24"/>
                <w:szCs w:val="24"/>
                <w:vertAlign w:val="superscript"/>
              </w:rPr>
            </w:pPr>
            <w:r>
              <w:rPr>
                <w:rFonts w:ascii="Arial" w:hAnsi="Arial" w:cs="Arial"/>
                <w:b/>
                <w:sz w:val="24"/>
                <w:szCs w:val="24"/>
              </w:rPr>
              <w:t>0,</w:t>
            </w:r>
            <w:r w:rsidR="0017417D" w:rsidRPr="00B67616">
              <w:rPr>
                <w:rFonts w:ascii="Arial" w:hAnsi="Arial" w:cs="Arial"/>
                <w:b/>
                <w:sz w:val="24"/>
                <w:szCs w:val="24"/>
              </w:rPr>
              <w:t>000</w:t>
            </w:r>
            <w:r w:rsidR="0017417D" w:rsidRPr="00B67616">
              <w:rPr>
                <w:rFonts w:ascii="Arial" w:hAnsi="Arial" w:cs="Arial"/>
                <w:b/>
                <w:sz w:val="24"/>
                <w:szCs w:val="24"/>
                <w:vertAlign w:val="superscript"/>
              </w:rPr>
              <w:t>c</w:t>
            </w:r>
          </w:p>
        </w:tc>
      </w:tr>
      <w:tr w:rsidR="0017417D" w:rsidRPr="005A1F10" w:rsidTr="002324A1">
        <w:trPr>
          <w:cnfStyle w:val="000000100000"/>
          <w:trHeight w:val="336"/>
        </w:trPr>
        <w:tc>
          <w:tcPr>
            <w:cnfStyle w:val="001000000000"/>
            <w:tcW w:w="3227" w:type="dxa"/>
            <w:tcBorders>
              <w:right w:val="single" w:sz="4" w:space="0" w:color="auto"/>
            </w:tcBorders>
          </w:tcPr>
          <w:p w:rsidR="0017417D" w:rsidRPr="00BF6101" w:rsidRDefault="0017417D" w:rsidP="004D272A">
            <w:pPr>
              <w:rPr>
                <w:rFonts w:ascii="Arial" w:hAnsi="Arial" w:cs="Arial"/>
                <w:b w:val="0"/>
                <w:sz w:val="24"/>
                <w:szCs w:val="24"/>
              </w:rPr>
            </w:pPr>
            <w:r w:rsidRPr="00BF6101">
              <w:rPr>
                <w:rFonts w:ascii="Arial" w:hAnsi="Arial" w:cs="Arial"/>
                <w:b w:val="0"/>
                <w:sz w:val="24"/>
                <w:szCs w:val="24"/>
              </w:rPr>
              <w:t>ERC previa</w:t>
            </w:r>
          </w:p>
        </w:tc>
        <w:tc>
          <w:tcPr>
            <w:tcW w:w="1843" w:type="dxa"/>
            <w:tcBorders>
              <w:left w:val="single" w:sz="4" w:space="0" w:color="auto"/>
              <w:right w:val="single" w:sz="4" w:space="0" w:color="auto"/>
            </w:tcBorders>
          </w:tcPr>
          <w:p w:rsidR="0017417D" w:rsidRPr="00363572" w:rsidRDefault="00B67616" w:rsidP="00B67616">
            <w:pPr>
              <w:cnfStyle w:val="000000100000"/>
              <w:rPr>
                <w:rFonts w:ascii="Arial" w:hAnsi="Arial" w:cs="Arial"/>
                <w:sz w:val="24"/>
                <w:szCs w:val="24"/>
              </w:rPr>
            </w:pPr>
            <w:r>
              <w:rPr>
                <w:rFonts w:ascii="Arial" w:hAnsi="Arial" w:cs="Arial"/>
                <w:sz w:val="24"/>
                <w:szCs w:val="24"/>
              </w:rPr>
              <w:t>49</w:t>
            </w:r>
            <w:r w:rsidR="0017417D">
              <w:rPr>
                <w:rFonts w:ascii="Arial" w:hAnsi="Arial" w:cs="Arial"/>
                <w:sz w:val="24"/>
                <w:szCs w:val="24"/>
              </w:rPr>
              <w:t xml:space="preserve"> (2</w:t>
            </w:r>
            <w:r>
              <w:rPr>
                <w:rFonts w:ascii="Arial" w:hAnsi="Arial" w:cs="Arial"/>
                <w:sz w:val="24"/>
                <w:szCs w:val="24"/>
              </w:rPr>
              <w:t>0,59</w:t>
            </w:r>
            <w:r w:rsidR="0017417D">
              <w:rPr>
                <w:rFonts w:ascii="Arial" w:hAnsi="Arial" w:cs="Arial"/>
                <w:sz w:val="24"/>
                <w:szCs w:val="24"/>
              </w:rPr>
              <w:t>%)</w:t>
            </w:r>
          </w:p>
        </w:tc>
        <w:tc>
          <w:tcPr>
            <w:tcW w:w="1842" w:type="dxa"/>
            <w:tcBorders>
              <w:left w:val="single" w:sz="4" w:space="0" w:color="auto"/>
              <w:right w:val="single" w:sz="4" w:space="0" w:color="auto"/>
            </w:tcBorders>
          </w:tcPr>
          <w:p w:rsidR="0017417D" w:rsidRPr="00363572" w:rsidRDefault="00B67616" w:rsidP="004D272A">
            <w:pPr>
              <w:cnfStyle w:val="000000100000"/>
              <w:rPr>
                <w:rFonts w:ascii="Arial" w:hAnsi="Arial" w:cs="Arial"/>
                <w:sz w:val="24"/>
                <w:szCs w:val="24"/>
              </w:rPr>
            </w:pPr>
            <w:r>
              <w:rPr>
                <w:rFonts w:ascii="Arial" w:hAnsi="Arial" w:cs="Arial"/>
                <w:sz w:val="24"/>
                <w:szCs w:val="24"/>
              </w:rPr>
              <w:t>20 (25,</w:t>
            </w:r>
            <w:r w:rsidR="0017417D">
              <w:rPr>
                <w:rFonts w:ascii="Arial" w:hAnsi="Arial" w:cs="Arial"/>
                <w:sz w:val="24"/>
                <w:szCs w:val="24"/>
              </w:rPr>
              <w:t>32%)</w:t>
            </w:r>
          </w:p>
        </w:tc>
        <w:tc>
          <w:tcPr>
            <w:tcW w:w="1843" w:type="dxa"/>
            <w:tcBorders>
              <w:left w:val="single" w:sz="4" w:space="0" w:color="auto"/>
              <w:right w:val="single" w:sz="4" w:space="0" w:color="auto"/>
            </w:tcBorders>
          </w:tcPr>
          <w:p w:rsidR="0017417D" w:rsidRPr="00363572" w:rsidRDefault="00B67616" w:rsidP="004D272A">
            <w:pPr>
              <w:cnfStyle w:val="000000100000"/>
              <w:rPr>
                <w:rFonts w:ascii="Arial" w:hAnsi="Arial" w:cs="Arial"/>
                <w:sz w:val="24"/>
                <w:szCs w:val="24"/>
              </w:rPr>
            </w:pPr>
            <w:r>
              <w:rPr>
                <w:rFonts w:ascii="Arial" w:hAnsi="Arial" w:cs="Arial"/>
                <w:sz w:val="24"/>
                <w:szCs w:val="24"/>
              </w:rPr>
              <w:t>15 (18,</w:t>
            </w:r>
            <w:r w:rsidR="0017417D">
              <w:rPr>
                <w:rFonts w:ascii="Arial" w:hAnsi="Arial" w:cs="Arial"/>
                <w:sz w:val="24"/>
                <w:szCs w:val="24"/>
              </w:rPr>
              <w:t>99%)</w:t>
            </w:r>
          </w:p>
        </w:tc>
        <w:tc>
          <w:tcPr>
            <w:tcW w:w="1843" w:type="dxa"/>
            <w:tcBorders>
              <w:left w:val="single" w:sz="4" w:space="0" w:color="auto"/>
              <w:right w:val="single" w:sz="4" w:space="0" w:color="auto"/>
            </w:tcBorders>
          </w:tcPr>
          <w:p w:rsidR="0017417D" w:rsidRPr="00363572" w:rsidRDefault="00B67616" w:rsidP="004D272A">
            <w:pPr>
              <w:cnfStyle w:val="000000100000"/>
              <w:rPr>
                <w:rFonts w:ascii="Arial" w:hAnsi="Arial" w:cs="Arial"/>
                <w:sz w:val="24"/>
                <w:szCs w:val="24"/>
              </w:rPr>
            </w:pPr>
            <w:r>
              <w:rPr>
                <w:rFonts w:ascii="Arial" w:hAnsi="Arial" w:cs="Arial"/>
                <w:sz w:val="24"/>
                <w:szCs w:val="24"/>
              </w:rPr>
              <w:t>14 (17,</w:t>
            </w:r>
            <w:r w:rsidR="0017417D">
              <w:rPr>
                <w:rFonts w:ascii="Arial" w:hAnsi="Arial" w:cs="Arial"/>
                <w:sz w:val="24"/>
                <w:szCs w:val="24"/>
              </w:rPr>
              <w:t>50%)</w:t>
            </w:r>
          </w:p>
        </w:tc>
        <w:tc>
          <w:tcPr>
            <w:tcW w:w="992" w:type="dxa"/>
            <w:tcBorders>
              <w:left w:val="single" w:sz="4" w:space="0" w:color="auto"/>
            </w:tcBorders>
          </w:tcPr>
          <w:p w:rsidR="0017417D" w:rsidRPr="005A1F10" w:rsidRDefault="0017417D" w:rsidP="004D272A">
            <w:pPr>
              <w:cnfStyle w:val="000000100000"/>
              <w:rPr>
                <w:rFonts w:ascii="Arial" w:hAnsi="Arial" w:cs="Arial"/>
                <w:sz w:val="24"/>
                <w:szCs w:val="24"/>
              </w:rPr>
            </w:pPr>
            <w:r>
              <w:rPr>
                <w:rFonts w:ascii="Arial" w:hAnsi="Arial" w:cs="Arial"/>
                <w:sz w:val="24"/>
                <w:szCs w:val="24"/>
              </w:rPr>
              <w:t>0,083</w:t>
            </w:r>
          </w:p>
        </w:tc>
      </w:tr>
      <w:tr w:rsidR="0017417D" w:rsidRPr="005A1F10" w:rsidTr="002324A1">
        <w:trPr>
          <w:trHeight w:val="336"/>
        </w:trPr>
        <w:tc>
          <w:tcPr>
            <w:cnfStyle w:val="001000000000"/>
            <w:tcW w:w="3227" w:type="dxa"/>
            <w:tcBorders>
              <w:right w:val="single" w:sz="4" w:space="0" w:color="auto"/>
            </w:tcBorders>
          </w:tcPr>
          <w:p w:rsidR="0017417D" w:rsidRPr="00BF6101" w:rsidRDefault="0017417D" w:rsidP="004D272A">
            <w:pPr>
              <w:rPr>
                <w:rFonts w:ascii="Arial" w:hAnsi="Arial" w:cs="Arial"/>
                <w:sz w:val="24"/>
                <w:szCs w:val="24"/>
              </w:rPr>
            </w:pPr>
            <w:r w:rsidRPr="00BF6101">
              <w:rPr>
                <w:rFonts w:ascii="Arial" w:hAnsi="Arial" w:cs="Arial"/>
                <w:sz w:val="24"/>
                <w:szCs w:val="24"/>
              </w:rPr>
              <w:t>Clínica y Laboratorio al ingreso</w:t>
            </w:r>
          </w:p>
        </w:tc>
        <w:tc>
          <w:tcPr>
            <w:tcW w:w="1843" w:type="dxa"/>
            <w:tcBorders>
              <w:left w:val="single" w:sz="4" w:space="0" w:color="auto"/>
              <w:right w:val="single" w:sz="4" w:space="0" w:color="auto"/>
            </w:tcBorders>
          </w:tcPr>
          <w:p w:rsidR="0017417D" w:rsidRPr="00363572" w:rsidRDefault="0017417D" w:rsidP="004D272A">
            <w:pPr>
              <w:cnfStyle w:val="000000000000"/>
              <w:rPr>
                <w:rFonts w:ascii="Arial" w:hAnsi="Arial" w:cs="Arial"/>
                <w:b/>
                <w:sz w:val="24"/>
                <w:szCs w:val="24"/>
              </w:rPr>
            </w:pPr>
          </w:p>
        </w:tc>
        <w:tc>
          <w:tcPr>
            <w:tcW w:w="1842" w:type="dxa"/>
            <w:tcBorders>
              <w:left w:val="single" w:sz="4" w:space="0" w:color="auto"/>
              <w:right w:val="single" w:sz="4" w:space="0" w:color="auto"/>
            </w:tcBorders>
          </w:tcPr>
          <w:p w:rsidR="0017417D" w:rsidRPr="00363572" w:rsidRDefault="0017417D" w:rsidP="004D272A">
            <w:pPr>
              <w:cnfStyle w:val="000000000000"/>
              <w:rPr>
                <w:rFonts w:ascii="Arial" w:hAnsi="Arial" w:cs="Arial"/>
                <w:b/>
                <w:sz w:val="24"/>
                <w:szCs w:val="24"/>
              </w:rPr>
            </w:pPr>
          </w:p>
        </w:tc>
        <w:tc>
          <w:tcPr>
            <w:tcW w:w="1843" w:type="dxa"/>
            <w:tcBorders>
              <w:left w:val="single" w:sz="4" w:space="0" w:color="auto"/>
              <w:right w:val="single" w:sz="4" w:space="0" w:color="auto"/>
            </w:tcBorders>
          </w:tcPr>
          <w:p w:rsidR="0017417D" w:rsidRPr="00363572" w:rsidRDefault="0017417D" w:rsidP="004D272A">
            <w:pPr>
              <w:cnfStyle w:val="000000000000"/>
              <w:rPr>
                <w:rFonts w:ascii="Arial" w:hAnsi="Arial" w:cs="Arial"/>
                <w:b/>
                <w:sz w:val="24"/>
                <w:szCs w:val="24"/>
              </w:rPr>
            </w:pPr>
          </w:p>
        </w:tc>
        <w:tc>
          <w:tcPr>
            <w:tcW w:w="1843" w:type="dxa"/>
            <w:tcBorders>
              <w:left w:val="single" w:sz="4" w:space="0" w:color="auto"/>
              <w:right w:val="single" w:sz="4" w:space="0" w:color="auto"/>
            </w:tcBorders>
          </w:tcPr>
          <w:p w:rsidR="0017417D" w:rsidRPr="00363572" w:rsidRDefault="0017417D" w:rsidP="004D272A">
            <w:pPr>
              <w:cnfStyle w:val="000000000000"/>
              <w:rPr>
                <w:rFonts w:ascii="Arial" w:hAnsi="Arial" w:cs="Arial"/>
                <w:b/>
                <w:sz w:val="24"/>
                <w:szCs w:val="24"/>
              </w:rPr>
            </w:pPr>
          </w:p>
        </w:tc>
        <w:tc>
          <w:tcPr>
            <w:tcW w:w="992" w:type="dxa"/>
            <w:tcBorders>
              <w:left w:val="single" w:sz="4" w:space="0" w:color="auto"/>
            </w:tcBorders>
          </w:tcPr>
          <w:p w:rsidR="0017417D" w:rsidRPr="005A1F10" w:rsidRDefault="0017417D" w:rsidP="004D272A">
            <w:pPr>
              <w:cnfStyle w:val="000000000000"/>
              <w:rPr>
                <w:rFonts w:ascii="Arial" w:hAnsi="Arial" w:cs="Arial"/>
                <w:b/>
                <w:sz w:val="24"/>
                <w:szCs w:val="24"/>
              </w:rPr>
            </w:pPr>
          </w:p>
        </w:tc>
      </w:tr>
      <w:tr w:rsidR="0017417D" w:rsidRPr="005A1F10" w:rsidTr="002324A1">
        <w:trPr>
          <w:cnfStyle w:val="000000100000"/>
          <w:trHeight w:val="318"/>
        </w:trPr>
        <w:tc>
          <w:tcPr>
            <w:cnfStyle w:val="001000000000"/>
            <w:tcW w:w="3227" w:type="dxa"/>
            <w:tcBorders>
              <w:right w:val="single" w:sz="4" w:space="0" w:color="auto"/>
            </w:tcBorders>
          </w:tcPr>
          <w:p w:rsidR="0017417D" w:rsidRPr="00BF6101" w:rsidRDefault="0017417D" w:rsidP="004D272A">
            <w:pPr>
              <w:rPr>
                <w:rFonts w:ascii="Arial" w:hAnsi="Arial" w:cs="Arial"/>
                <w:b w:val="0"/>
                <w:sz w:val="24"/>
                <w:szCs w:val="24"/>
              </w:rPr>
            </w:pPr>
            <w:r w:rsidRPr="00BF6101">
              <w:rPr>
                <w:rFonts w:ascii="Arial" w:hAnsi="Arial" w:cs="Arial"/>
                <w:b w:val="0"/>
                <w:sz w:val="24"/>
                <w:szCs w:val="24"/>
              </w:rPr>
              <w:t>Tensión arterial sistólica (mmHg)</w:t>
            </w:r>
            <w:r w:rsidRPr="00BF6101">
              <w:rPr>
                <w:rFonts w:ascii="Arial" w:hAnsi="Arial" w:cs="Arial"/>
                <w:sz w:val="24"/>
                <w:szCs w:val="24"/>
                <w:vertAlign w:val="superscript"/>
              </w:rPr>
              <w:t xml:space="preserve"> b</w:t>
            </w:r>
          </w:p>
        </w:tc>
        <w:tc>
          <w:tcPr>
            <w:tcW w:w="1843" w:type="dxa"/>
            <w:tcBorders>
              <w:left w:val="single" w:sz="4" w:space="0" w:color="auto"/>
              <w:right w:val="single" w:sz="4" w:space="0" w:color="auto"/>
            </w:tcBorders>
          </w:tcPr>
          <w:p w:rsidR="0017417D" w:rsidRPr="001D58F2" w:rsidRDefault="00B67616" w:rsidP="00B67616">
            <w:pPr>
              <w:cnfStyle w:val="000000100000"/>
              <w:rPr>
                <w:rFonts w:ascii="Arial" w:hAnsi="Arial" w:cs="Arial"/>
                <w:sz w:val="24"/>
                <w:szCs w:val="24"/>
              </w:rPr>
            </w:pPr>
            <w:r>
              <w:rPr>
                <w:rFonts w:ascii="Arial" w:hAnsi="Arial" w:cs="Arial"/>
                <w:sz w:val="24"/>
                <w:szCs w:val="24"/>
              </w:rPr>
              <w:t xml:space="preserve">120  </w:t>
            </w:r>
            <w:r w:rsidR="0017417D">
              <w:rPr>
                <w:rFonts w:ascii="Arial" w:hAnsi="Arial" w:cs="Arial"/>
                <w:sz w:val="24"/>
                <w:szCs w:val="24"/>
              </w:rPr>
              <w:t>(</w:t>
            </w:r>
            <w:r>
              <w:rPr>
                <w:rFonts w:ascii="Arial" w:hAnsi="Arial" w:cs="Arial"/>
                <w:sz w:val="24"/>
                <w:szCs w:val="24"/>
              </w:rPr>
              <w:t>110-140</w:t>
            </w:r>
            <w:r w:rsidR="0017417D">
              <w:rPr>
                <w:rFonts w:ascii="Arial" w:hAnsi="Arial" w:cs="Arial"/>
                <w:sz w:val="24"/>
                <w:szCs w:val="24"/>
              </w:rPr>
              <w:t>)</w:t>
            </w:r>
          </w:p>
        </w:tc>
        <w:tc>
          <w:tcPr>
            <w:tcW w:w="1842" w:type="dxa"/>
            <w:tcBorders>
              <w:left w:val="single" w:sz="4" w:space="0" w:color="auto"/>
              <w:right w:val="single" w:sz="4" w:space="0" w:color="auto"/>
            </w:tcBorders>
          </w:tcPr>
          <w:p w:rsidR="0017417D" w:rsidRPr="001D58F2" w:rsidRDefault="00B67616" w:rsidP="00B67616">
            <w:pPr>
              <w:cnfStyle w:val="000000100000"/>
              <w:rPr>
                <w:rFonts w:ascii="Arial" w:hAnsi="Arial" w:cs="Arial"/>
                <w:sz w:val="24"/>
                <w:szCs w:val="24"/>
              </w:rPr>
            </w:pPr>
            <w:r>
              <w:rPr>
                <w:rFonts w:ascii="Arial" w:hAnsi="Arial" w:cs="Arial"/>
                <w:sz w:val="24"/>
                <w:szCs w:val="24"/>
              </w:rPr>
              <w:t xml:space="preserve">120  </w:t>
            </w:r>
            <w:r w:rsidR="0017417D">
              <w:rPr>
                <w:rFonts w:ascii="Arial" w:hAnsi="Arial" w:cs="Arial"/>
                <w:sz w:val="24"/>
                <w:szCs w:val="24"/>
              </w:rPr>
              <w:t>(</w:t>
            </w:r>
            <w:r>
              <w:rPr>
                <w:rFonts w:ascii="Arial" w:hAnsi="Arial" w:cs="Arial"/>
                <w:sz w:val="24"/>
                <w:szCs w:val="24"/>
              </w:rPr>
              <w:t>110-140</w:t>
            </w:r>
            <w:r w:rsidR="0017417D">
              <w:rPr>
                <w:rFonts w:ascii="Arial" w:hAnsi="Arial" w:cs="Arial"/>
                <w:sz w:val="24"/>
                <w:szCs w:val="24"/>
              </w:rPr>
              <w:t>)</w:t>
            </w:r>
          </w:p>
        </w:tc>
        <w:tc>
          <w:tcPr>
            <w:tcW w:w="1843" w:type="dxa"/>
            <w:tcBorders>
              <w:left w:val="single" w:sz="4" w:space="0" w:color="auto"/>
              <w:right w:val="single" w:sz="4" w:space="0" w:color="auto"/>
            </w:tcBorders>
          </w:tcPr>
          <w:p w:rsidR="0017417D" w:rsidRPr="001D58F2" w:rsidRDefault="0017417D" w:rsidP="00B67616">
            <w:pPr>
              <w:cnfStyle w:val="000000100000"/>
              <w:rPr>
                <w:rFonts w:ascii="Arial" w:hAnsi="Arial" w:cs="Arial"/>
                <w:sz w:val="24"/>
                <w:szCs w:val="24"/>
              </w:rPr>
            </w:pPr>
            <w:r>
              <w:rPr>
                <w:rFonts w:ascii="Arial" w:hAnsi="Arial" w:cs="Arial"/>
                <w:sz w:val="24"/>
                <w:szCs w:val="24"/>
              </w:rPr>
              <w:t>120  (1</w:t>
            </w:r>
            <w:r w:rsidR="00B67616">
              <w:rPr>
                <w:rFonts w:ascii="Arial" w:hAnsi="Arial" w:cs="Arial"/>
                <w:sz w:val="24"/>
                <w:szCs w:val="24"/>
              </w:rPr>
              <w:t>10-140</w:t>
            </w:r>
            <w:r>
              <w:rPr>
                <w:rFonts w:ascii="Arial" w:hAnsi="Arial" w:cs="Arial"/>
                <w:sz w:val="24"/>
                <w:szCs w:val="24"/>
              </w:rPr>
              <w:t>)</w:t>
            </w:r>
          </w:p>
        </w:tc>
        <w:tc>
          <w:tcPr>
            <w:tcW w:w="1843" w:type="dxa"/>
            <w:tcBorders>
              <w:left w:val="single" w:sz="4" w:space="0" w:color="auto"/>
              <w:right w:val="single" w:sz="4" w:space="0" w:color="auto"/>
            </w:tcBorders>
          </w:tcPr>
          <w:p w:rsidR="0017417D" w:rsidRPr="001D58F2" w:rsidRDefault="00B67616" w:rsidP="00B67616">
            <w:pPr>
              <w:cnfStyle w:val="000000100000"/>
              <w:rPr>
                <w:rFonts w:ascii="Arial" w:hAnsi="Arial" w:cs="Arial"/>
                <w:sz w:val="24"/>
                <w:szCs w:val="24"/>
              </w:rPr>
            </w:pPr>
            <w:r>
              <w:rPr>
                <w:rFonts w:ascii="Arial" w:hAnsi="Arial" w:cs="Arial"/>
                <w:sz w:val="24"/>
                <w:szCs w:val="24"/>
              </w:rPr>
              <w:t>110</w:t>
            </w:r>
            <w:r w:rsidR="0077398A">
              <w:rPr>
                <w:rFonts w:ascii="Arial" w:hAnsi="Arial" w:cs="Arial"/>
                <w:sz w:val="24"/>
                <w:szCs w:val="24"/>
              </w:rPr>
              <w:t xml:space="preserve"> </w:t>
            </w:r>
            <w:r w:rsidR="0017417D">
              <w:rPr>
                <w:rFonts w:ascii="Arial" w:hAnsi="Arial" w:cs="Arial"/>
                <w:sz w:val="24"/>
                <w:szCs w:val="24"/>
              </w:rPr>
              <w:t>(</w:t>
            </w:r>
            <w:r>
              <w:rPr>
                <w:rFonts w:ascii="Arial" w:hAnsi="Arial" w:cs="Arial"/>
                <w:sz w:val="24"/>
                <w:szCs w:val="24"/>
              </w:rPr>
              <w:t>100-130</w:t>
            </w:r>
            <w:r w:rsidR="0017417D">
              <w:rPr>
                <w:rFonts w:ascii="Arial" w:hAnsi="Arial" w:cs="Arial"/>
                <w:sz w:val="24"/>
                <w:szCs w:val="24"/>
              </w:rPr>
              <w:t>)</w:t>
            </w:r>
          </w:p>
        </w:tc>
        <w:tc>
          <w:tcPr>
            <w:tcW w:w="992" w:type="dxa"/>
            <w:tcBorders>
              <w:left w:val="single" w:sz="4" w:space="0" w:color="auto"/>
            </w:tcBorders>
          </w:tcPr>
          <w:p w:rsidR="0017417D" w:rsidRPr="005A1F10" w:rsidRDefault="0017417D" w:rsidP="004D272A">
            <w:pPr>
              <w:cnfStyle w:val="000000100000"/>
              <w:rPr>
                <w:rFonts w:ascii="Arial" w:hAnsi="Arial" w:cs="Arial"/>
                <w:sz w:val="24"/>
                <w:szCs w:val="24"/>
              </w:rPr>
            </w:pPr>
            <w:r>
              <w:rPr>
                <w:rFonts w:ascii="Arial" w:hAnsi="Arial" w:cs="Arial"/>
                <w:sz w:val="24"/>
                <w:szCs w:val="24"/>
              </w:rPr>
              <w:t>0,392</w:t>
            </w:r>
          </w:p>
        </w:tc>
      </w:tr>
      <w:tr w:rsidR="0017417D" w:rsidRPr="005A1F10" w:rsidTr="002324A1">
        <w:trPr>
          <w:trHeight w:val="318"/>
        </w:trPr>
        <w:tc>
          <w:tcPr>
            <w:cnfStyle w:val="001000000000"/>
            <w:tcW w:w="3227" w:type="dxa"/>
            <w:tcBorders>
              <w:right w:val="single" w:sz="4" w:space="0" w:color="auto"/>
            </w:tcBorders>
          </w:tcPr>
          <w:p w:rsidR="0017417D" w:rsidRPr="00BF6101" w:rsidRDefault="0017417D" w:rsidP="004D272A">
            <w:pPr>
              <w:rPr>
                <w:b w:val="0"/>
              </w:rPr>
            </w:pPr>
            <w:r w:rsidRPr="00BF6101">
              <w:rPr>
                <w:rFonts w:ascii="Arial" w:hAnsi="Arial" w:cs="Arial"/>
                <w:b w:val="0"/>
                <w:sz w:val="24"/>
                <w:szCs w:val="24"/>
              </w:rPr>
              <w:t>Tensión arterial diastólica (mmHg)</w:t>
            </w:r>
            <w:r w:rsidRPr="00BF6101">
              <w:rPr>
                <w:rFonts w:ascii="Arial" w:hAnsi="Arial" w:cs="Arial"/>
                <w:sz w:val="24"/>
                <w:szCs w:val="24"/>
                <w:vertAlign w:val="superscript"/>
              </w:rPr>
              <w:t xml:space="preserve"> b</w:t>
            </w:r>
          </w:p>
        </w:tc>
        <w:tc>
          <w:tcPr>
            <w:tcW w:w="1843" w:type="dxa"/>
            <w:tcBorders>
              <w:left w:val="single" w:sz="4" w:space="0" w:color="auto"/>
              <w:right w:val="single" w:sz="4" w:space="0" w:color="auto"/>
            </w:tcBorders>
          </w:tcPr>
          <w:p w:rsidR="0017417D" w:rsidRPr="003F2DD6" w:rsidRDefault="0077398A" w:rsidP="0077398A">
            <w:pPr>
              <w:cnfStyle w:val="000000000000"/>
              <w:rPr>
                <w:rFonts w:ascii="Arial" w:hAnsi="Arial" w:cs="Arial"/>
                <w:sz w:val="24"/>
                <w:szCs w:val="24"/>
              </w:rPr>
            </w:pPr>
            <w:r>
              <w:rPr>
                <w:rFonts w:ascii="Arial" w:hAnsi="Arial" w:cs="Arial"/>
                <w:sz w:val="24"/>
                <w:szCs w:val="24"/>
              </w:rPr>
              <w:t xml:space="preserve">80  </w:t>
            </w:r>
            <w:r w:rsidR="0017417D">
              <w:rPr>
                <w:rFonts w:ascii="Arial" w:hAnsi="Arial" w:cs="Arial"/>
                <w:sz w:val="24"/>
                <w:szCs w:val="24"/>
              </w:rPr>
              <w:t>(</w:t>
            </w:r>
            <w:r>
              <w:rPr>
                <w:rFonts w:ascii="Arial" w:hAnsi="Arial" w:cs="Arial"/>
                <w:sz w:val="24"/>
                <w:szCs w:val="24"/>
              </w:rPr>
              <w:t>70-86</w:t>
            </w:r>
            <w:r w:rsidR="0017417D">
              <w:rPr>
                <w:rFonts w:ascii="Arial" w:hAnsi="Arial" w:cs="Arial"/>
                <w:sz w:val="24"/>
                <w:szCs w:val="24"/>
              </w:rPr>
              <w:t>)</w:t>
            </w:r>
          </w:p>
        </w:tc>
        <w:tc>
          <w:tcPr>
            <w:tcW w:w="1842" w:type="dxa"/>
            <w:tcBorders>
              <w:left w:val="single" w:sz="4" w:space="0" w:color="auto"/>
              <w:right w:val="single" w:sz="4" w:space="0" w:color="auto"/>
            </w:tcBorders>
          </w:tcPr>
          <w:p w:rsidR="0017417D" w:rsidRPr="003F2DD6" w:rsidRDefault="0077398A" w:rsidP="0077398A">
            <w:pPr>
              <w:cnfStyle w:val="000000000000"/>
              <w:rPr>
                <w:rFonts w:ascii="Arial" w:hAnsi="Arial" w:cs="Arial"/>
                <w:sz w:val="24"/>
                <w:szCs w:val="24"/>
              </w:rPr>
            </w:pPr>
            <w:r>
              <w:rPr>
                <w:rFonts w:ascii="Arial" w:hAnsi="Arial" w:cs="Arial"/>
                <w:sz w:val="24"/>
                <w:szCs w:val="24"/>
              </w:rPr>
              <w:t xml:space="preserve">80   </w:t>
            </w:r>
            <w:r w:rsidR="0017417D">
              <w:rPr>
                <w:rFonts w:ascii="Arial" w:hAnsi="Arial" w:cs="Arial"/>
                <w:sz w:val="24"/>
                <w:szCs w:val="24"/>
              </w:rPr>
              <w:t>(</w:t>
            </w:r>
            <w:r>
              <w:rPr>
                <w:rFonts w:ascii="Arial" w:hAnsi="Arial" w:cs="Arial"/>
                <w:sz w:val="24"/>
                <w:szCs w:val="24"/>
              </w:rPr>
              <w:t>70-90</w:t>
            </w:r>
            <w:r w:rsidR="0017417D">
              <w:rPr>
                <w:rFonts w:ascii="Arial" w:hAnsi="Arial" w:cs="Arial"/>
                <w:sz w:val="24"/>
                <w:szCs w:val="24"/>
              </w:rPr>
              <w:t>)</w:t>
            </w:r>
          </w:p>
        </w:tc>
        <w:tc>
          <w:tcPr>
            <w:tcW w:w="1843" w:type="dxa"/>
            <w:tcBorders>
              <w:left w:val="single" w:sz="4" w:space="0" w:color="auto"/>
              <w:right w:val="single" w:sz="4" w:space="0" w:color="auto"/>
            </w:tcBorders>
          </w:tcPr>
          <w:p w:rsidR="0017417D" w:rsidRPr="003F2DD6" w:rsidRDefault="0077398A" w:rsidP="0077398A">
            <w:pPr>
              <w:cnfStyle w:val="000000000000"/>
              <w:rPr>
                <w:rFonts w:ascii="Arial" w:hAnsi="Arial" w:cs="Arial"/>
                <w:sz w:val="24"/>
                <w:szCs w:val="24"/>
              </w:rPr>
            </w:pPr>
            <w:r>
              <w:rPr>
                <w:rFonts w:ascii="Arial" w:hAnsi="Arial" w:cs="Arial"/>
                <w:sz w:val="24"/>
                <w:szCs w:val="24"/>
              </w:rPr>
              <w:t xml:space="preserve">80   </w:t>
            </w:r>
            <w:r w:rsidR="0017417D">
              <w:rPr>
                <w:rFonts w:ascii="Arial" w:hAnsi="Arial" w:cs="Arial"/>
                <w:sz w:val="24"/>
                <w:szCs w:val="24"/>
              </w:rPr>
              <w:t>(</w:t>
            </w:r>
            <w:r>
              <w:rPr>
                <w:rFonts w:ascii="Arial" w:hAnsi="Arial" w:cs="Arial"/>
                <w:sz w:val="24"/>
                <w:szCs w:val="24"/>
              </w:rPr>
              <w:t>70-90</w:t>
            </w:r>
            <w:r w:rsidR="0017417D">
              <w:rPr>
                <w:rFonts w:ascii="Arial" w:hAnsi="Arial" w:cs="Arial"/>
                <w:sz w:val="24"/>
                <w:szCs w:val="24"/>
              </w:rPr>
              <w:t>)</w:t>
            </w:r>
          </w:p>
        </w:tc>
        <w:tc>
          <w:tcPr>
            <w:tcW w:w="1843" w:type="dxa"/>
            <w:tcBorders>
              <w:left w:val="single" w:sz="4" w:space="0" w:color="auto"/>
              <w:right w:val="single" w:sz="4" w:space="0" w:color="auto"/>
            </w:tcBorders>
          </w:tcPr>
          <w:p w:rsidR="0017417D" w:rsidRPr="003F2DD6" w:rsidRDefault="0077398A" w:rsidP="0077398A">
            <w:pPr>
              <w:cnfStyle w:val="000000000000"/>
              <w:rPr>
                <w:rFonts w:ascii="Arial" w:hAnsi="Arial" w:cs="Arial"/>
                <w:sz w:val="24"/>
                <w:szCs w:val="24"/>
              </w:rPr>
            </w:pPr>
            <w:r>
              <w:rPr>
                <w:rFonts w:ascii="Arial" w:hAnsi="Arial" w:cs="Arial"/>
                <w:sz w:val="24"/>
                <w:szCs w:val="24"/>
              </w:rPr>
              <w:t xml:space="preserve">70   </w:t>
            </w:r>
            <w:r w:rsidR="0017417D">
              <w:rPr>
                <w:rFonts w:ascii="Arial" w:hAnsi="Arial" w:cs="Arial"/>
                <w:sz w:val="24"/>
                <w:szCs w:val="24"/>
              </w:rPr>
              <w:t>(</w:t>
            </w:r>
            <w:r>
              <w:rPr>
                <w:rFonts w:ascii="Arial" w:hAnsi="Arial" w:cs="Arial"/>
                <w:sz w:val="24"/>
                <w:szCs w:val="24"/>
              </w:rPr>
              <w:t>60-80</w:t>
            </w:r>
            <w:r w:rsidR="0017417D">
              <w:rPr>
                <w:rFonts w:ascii="Arial" w:hAnsi="Arial" w:cs="Arial"/>
                <w:sz w:val="24"/>
                <w:szCs w:val="24"/>
              </w:rPr>
              <w:t>)</w:t>
            </w:r>
          </w:p>
        </w:tc>
        <w:tc>
          <w:tcPr>
            <w:tcW w:w="992" w:type="dxa"/>
            <w:tcBorders>
              <w:left w:val="single" w:sz="4" w:space="0" w:color="auto"/>
            </w:tcBorders>
          </w:tcPr>
          <w:p w:rsidR="0017417D" w:rsidRPr="005A1F10" w:rsidRDefault="0017417D" w:rsidP="004D272A">
            <w:pPr>
              <w:cnfStyle w:val="000000000000"/>
              <w:rPr>
                <w:rFonts w:ascii="Arial" w:hAnsi="Arial" w:cs="Arial"/>
                <w:sz w:val="24"/>
                <w:szCs w:val="24"/>
              </w:rPr>
            </w:pPr>
            <w:r>
              <w:rPr>
                <w:rFonts w:ascii="Arial" w:hAnsi="Arial" w:cs="Arial"/>
                <w:sz w:val="24"/>
                <w:szCs w:val="24"/>
              </w:rPr>
              <w:t>0,537</w:t>
            </w:r>
          </w:p>
        </w:tc>
      </w:tr>
      <w:tr w:rsidR="0017417D" w:rsidRPr="005A1F10" w:rsidTr="002324A1">
        <w:trPr>
          <w:cnfStyle w:val="000000100000"/>
          <w:trHeight w:val="336"/>
        </w:trPr>
        <w:tc>
          <w:tcPr>
            <w:cnfStyle w:val="001000000000"/>
            <w:tcW w:w="3227" w:type="dxa"/>
            <w:tcBorders>
              <w:right w:val="single" w:sz="4" w:space="0" w:color="auto"/>
            </w:tcBorders>
          </w:tcPr>
          <w:p w:rsidR="0017417D" w:rsidRPr="00BF6101" w:rsidRDefault="0017417D" w:rsidP="004D272A">
            <w:pPr>
              <w:rPr>
                <w:rFonts w:ascii="Arial" w:hAnsi="Arial" w:cs="Arial"/>
                <w:b w:val="0"/>
                <w:sz w:val="24"/>
                <w:szCs w:val="24"/>
              </w:rPr>
            </w:pPr>
            <w:r w:rsidRPr="00BF6101">
              <w:rPr>
                <w:rFonts w:ascii="Arial" w:hAnsi="Arial" w:cs="Arial"/>
                <w:b w:val="0"/>
                <w:sz w:val="24"/>
                <w:szCs w:val="24"/>
              </w:rPr>
              <w:t>Filtrado glomerular</w:t>
            </w:r>
            <w:r>
              <w:rPr>
                <w:rFonts w:ascii="Arial" w:hAnsi="Arial" w:cs="Arial"/>
                <w:b w:val="0"/>
                <w:sz w:val="24"/>
                <w:szCs w:val="24"/>
              </w:rPr>
              <w:t xml:space="preserve"> &lt; 60</w:t>
            </w:r>
            <w:r w:rsidRPr="00BF6101">
              <w:rPr>
                <w:rFonts w:ascii="Arial" w:hAnsi="Arial" w:cs="Arial"/>
                <w:b w:val="0"/>
                <w:sz w:val="24"/>
                <w:szCs w:val="24"/>
              </w:rPr>
              <w:t xml:space="preserve"> (ml/min/1.73m</w:t>
            </w:r>
            <w:r w:rsidRPr="00BF6101">
              <w:rPr>
                <w:rFonts w:ascii="Arial" w:hAnsi="Arial" w:cs="Arial"/>
                <w:b w:val="0"/>
                <w:sz w:val="24"/>
                <w:szCs w:val="24"/>
                <w:vertAlign w:val="superscript"/>
              </w:rPr>
              <w:t>2</w:t>
            </w:r>
            <w:r w:rsidRPr="00BF6101">
              <w:rPr>
                <w:rFonts w:ascii="Arial" w:hAnsi="Arial" w:cs="Arial"/>
                <w:b w:val="0"/>
                <w:sz w:val="24"/>
                <w:szCs w:val="24"/>
              </w:rPr>
              <w:t>)</w:t>
            </w:r>
          </w:p>
        </w:tc>
        <w:tc>
          <w:tcPr>
            <w:tcW w:w="1843" w:type="dxa"/>
            <w:tcBorders>
              <w:left w:val="single" w:sz="4" w:space="0" w:color="auto"/>
              <w:right w:val="single" w:sz="4" w:space="0" w:color="auto"/>
            </w:tcBorders>
          </w:tcPr>
          <w:p w:rsidR="0017417D" w:rsidRPr="001D58F2" w:rsidRDefault="0077398A" w:rsidP="0077398A">
            <w:pPr>
              <w:cnfStyle w:val="000000100000"/>
              <w:rPr>
                <w:rFonts w:ascii="Arial" w:hAnsi="Arial" w:cs="Arial"/>
                <w:sz w:val="24"/>
                <w:szCs w:val="24"/>
              </w:rPr>
            </w:pPr>
            <w:r>
              <w:rPr>
                <w:rFonts w:ascii="Arial" w:hAnsi="Arial" w:cs="Arial"/>
                <w:sz w:val="24"/>
                <w:szCs w:val="24"/>
              </w:rPr>
              <w:t>100 (42,02</w:t>
            </w:r>
            <w:r w:rsidR="0017417D">
              <w:rPr>
                <w:rFonts w:ascii="Arial" w:hAnsi="Arial" w:cs="Arial"/>
                <w:sz w:val="24"/>
                <w:szCs w:val="24"/>
              </w:rPr>
              <w:t>%)</w:t>
            </w:r>
          </w:p>
        </w:tc>
        <w:tc>
          <w:tcPr>
            <w:tcW w:w="1842" w:type="dxa"/>
            <w:tcBorders>
              <w:left w:val="single" w:sz="4" w:space="0" w:color="auto"/>
              <w:right w:val="single" w:sz="4" w:space="0" w:color="auto"/>
            </w:tcBorders>
          </w:tcPr>
          <w:p w:rsidR="0017417D" w:rsidRPr="001D58F2" w:rsidRDefault="0077398A" w:rsidP="004D272A">
            <w:pPr>
              <w:cnfStyle w:val="000000100000"/>
              <w:rPr>
                <w:rFonts w:ascii="Arial" w:hAnsi="Arial" w:cs="Arial"/>
                <w:sz w:val="24"/>
                <w:szCs w:val="24"/>
              </w:rPr>
            </w:pPr>
            <w:r>
              <w:rPr>
                <w:rFonts w:ascii="Arial" w:hAnsi="Arial" w:cs="Arial"/>
                <w:sz w:val="24"/>
                <w:szCs w:val="24"/>
              </w:rPr>
              <w:t>15 (18,</w:t>
            </w:r>
            <w:r w:rsidR="0017417D">
              <w:rPr>
                <w:rFonts w:ascii="Arial" w:hAnsi="Arial" w:cs="Arial"/>
                <w:sz w:val="24"/>
                <w:szCs w:val="24"/>
              </w:rPr>
              <w:t>99%)</w:t>
            </w:r>
          </w:p>
        </w:tc>
        <w:tc>
          <w:tcPr>
            <w:tcW w:w="1843" w:type="dxa"/>
            <w:tcBorders>
              <w:left w:val="single" w:sz="4" w:space="0" w:color="auto"/>
              <w:right w:val="single" w:sz="4" w:space="0" w:color="auto"/>
            </w:tcBorders>
          </w:tcPr>
          <w:p w:rsidR="0017417D" w:rsidRPr="001D58F2" w:rsidRDefault="0077398A" w:rsidP="004D272A">
            <w:pPr>
              <w:cnfStyle w:val="000000100000"/>
              <w:rPr>
                <w:rFonts w:ascii="Arial" w:hAnsi="Arial" w:cs="Arial"/>
                <w:sz w:val="24"/>
                <w:szCs w:val="24"/>
              </w:rPr>
            </w:pPr>
            <w:r>
              <w:rPr>
                <w:rFonts w:ascii="Arial" w:hAnsi="Arial" w:cs="Arial"/>
                <w:sz w:val="24"/>
                <w:szCs w:val="24"/>
              </w:rPr>
              <w:t>28 (35,</w:t>
            </w:r>
            <w:r w:rsidR="0017417D">
              <w:rPr>
                <w:rFonts w:ascii="Arial" w:hAnsi="Arial" w:cs="Arial"/>
                <w:sz w:val="24"/>
                <w:szCs w:val="24"/>
              </w:rPr>
              <w:t>44%)</w:t>
            </w:r>
          </w:p>
        </w:tc>
        <w:tc>
          <w:tcPr>
            <w:tcW w:w="1843" w:type="dxa"/>
            <w:tcBorders>
              <w:left w:val="single" w:sz="4" w:space="0" w:color="auto"/>
              <w:right w:val="single" w:sz="4" w:space="0" w:color="auto"/>
            </w:tcBorders>
          </w:tcPr>
          <w:p w:rsidR="0017417D" w:rsidRPr="001D58F2" w:rsidRDefault="0077398A" w:rsidP="004D272A">
            <w:pPr>
              <w:cnfStyle w:val="000000100000"/>
              <w:rPr>
                <w:rFonts w:ascii="Arial" w:hAnsi="Arial" w:cs="Arial"/>
                <w:sz w:val="24"/>
                <w:szCs w:val="24"/>
              </w:rPr>
            </w:pPr>
            <w:r>
              <w:rPr>
                <w:rFonts w:ascii="Arial" w:hAnsi="Arial" w:cs="Arial"/>
                <w:sz w:val="24"/>
                <w:szCs w:val="24"/>
              </w:rPr>
              <w:t>57 (71,</w:t>
            </w:r>
            <w:r w:rsidR="0017417D">
              <w:rPr>
                <w:rFonts w:ascii="Arial" w:hAnsi="Arial" w:cs="Arial"/>
                <w:sz w:val="24"/>
                <w:szCs w:val="24"/>
              </w:rPr>
              <w:t>25%)</w:t>
            </w:r>
          </w:p>
        </w:tc>
        <w:tc>
          <w:tcPr>
            <w:tcW w:w="992" w:type="dxa"/>
            <w:tcBorders>
              <w:left w:val="single" w:sz="4" w:space="0" w:color="auto"/>
            </w:tcBorders>
          </w:tcPr>
          <w:p w:rsidR="0017417D" w:rsidRPr="00B67616" w:rsidRDefault="00650778" w:rsidP="00B67616">
            <w:pPr>
              <w:cnfStyle w:val="000000100000"/>
              <w:rPr>
                <w:rFonts w:ascii="Arial" w:hAnsi="Arial" w:cs="Arial"/>
                <w:b/>
                <w:sz w:val="24"/>
                <w:szCs w:val="24"/>
                <w:vertAlign w:val="superscript"/>
              </w:rPr>
            </w:pPr>
            <w:r>
              <w:rPr>
                <w:rFonts w:ascii="Arial" w:hAnsi="Arial" w:cs="Arial"/>
                <w:b/>
                <w:sz w:val="24"/>
                <w:szCs w:val="24"/>
              </w:rPr>
              <w:t>0,</w:t>
            </w:r>
            <w:r w:rsidR="0017417D" w:rsidRPr="00B67616">
              <w:rPr>
                <w:rFonts w:ascii="Arial" w:hAnsi="Arial" w:cs="Arial"/>
                <w:b/>
                <w:sz w:val="24"/>
                <w:szCs w:val="24"/>
              </w:rPr>
              <w:t>0</w:t>
            </w:r>
            <w:r w:rsidR="00B67616" w:rsidRPr="00B67616">
              <w:rPr>
                <w:rFonts w:ascii="Arial" w:hAnsi="Arial" w:cs="Arial"/>
                <w:b/>
                <w:sz w:val="24"/>
                <w:szCs w:val="24"/>
              </w:rPr>
              <w:t>32</w:t>
            </w:r>
            <w:r w:rsidR="0017417D" w:rsidRPr="00B67616">
              <w:rPr>
                <w:rFonts w:ascii="Arial" w:hAnsi="Arial" w:cs="Arial"/>
                <w:b/>
                <w:sz w:val="24"/>
                <w:szCs w:val="24"/>
                <w:vertAlign w:val="superscript"/>
              </w:rPr>
              <w:t>c</w:t>
            </w:r>
          </w:p>
        </w:tc>
      </w:tr>
      <w:tr w:rsidR="0017417D" w:rsidRPr="005A1F10" w:rsidTr="002324A1">
        <w:trPr>
          <w:trHeight w:val="336"/>
        </w:trPr>
        <w:tc>
          <w:tcPr>
            <w:cnfStyle w:val="001000000000"/>
            <w:tcW w:w="3227" w:type="dxa"/>
            <w:tcBorders>
              <w:right w:val="single" w:sz="4" w:space="0" w:color="auto"/>
            </w:tcBorders>
          </w:tcPr>
          <w:p w:rsidR="0017417D" w:rsidRPr="00BF6101" w:rsidRDefault="0017417D" w:rsidP="004D272A">
            <w:pPr>
              <w:rPr>
                <w:rFonts w:ascii="Arial" w:hAnsi="Arial" w:cs="Arial"/>
                <w:b w:val="0"/>
                <w:sz w:val="24"/>
                <w:szCs w:val="24"/>
              </w:rPr>
            </w:pPr>
            <w:r>
              <w:rPr>
                <w:rFonts w:ascii="Arial" w:hAnsi="Arial" w:cs="Arial"/>
                <w:b w:val="0"/>
                <w:sz w:val="24"/>
                <w:szCs w:val="24"/>
              </w:rPr>
              <w:t>Hipoalbuminemia</w:t>
            </w:r>
            <w:r w:rsidRPr="00BF6101">
              <w:rPr>
                <w:rFonts w:ascii="Arial" w:hAnsi="Arial" w:cs="Arial"/>
                <w:b w:val="0"/>
                <w:sz w:val="24"/>
                <w:szCs w:val="24"/>
              </w:rPr>
              <w:t xml:space="preserve"> (g/L)</w:t>
            </w:r>
          </w:p>
        </w:tc>
        <w:tc>
          <w:tcPr>
            <w:tcW w:w="1843" w:type="dxa"/>
            <w:tcBorders>
              <w:left w:val="single" w:sz="4" w:space="0" w:color="auto"/>
              <w:right w:val="single" w:sz="4" w:space="0" w:color="auto"/>
            </w:tcBorders>
          </w:tcPr>
          <w:p w:rsidR="0017417D" w:rsidRPr="001D58F2" w:rsidRDefault="0077398A" w:rsidP="004D272A">
            <w:pPr>
              <w:cnfStyle w:val="000000000000"/>
              <w:rPr>
                <w:rFonts w:ascii="Arial" w:hAnsi="Arial" w:cs="Arial"/>
                <w:sz w:val="24"/>
                <w:szCs w:val="24"/>
              </w:rPr>
            </w:pPr>
            <w:r>
              <w:rPr>
                <w:rFonts w:ascii="Arial" w:hAnsi="Arial" w:cs="Arial"/>
                <w:sz w:val="24"/>
                <w:szCs w:val="24"/>
              </w:rPr>
              <w:t>79 (33,</w:t>
            </w:r>
            <w:r w:rsidR="0017417D">
              <w:rPr>
                <w:rFonts w:ascii="Arial" w:hAnsi="Arial" w:cs="Arial"/>
                <w:sz w:val="24"/>
                <w:szCs w:val="24"/>
              </w:rPr>
              <w:t>19%)</w:t>
            </w:r>
          </w:p>
        </w:tc>
        <w:tc>
          <w:tcPr>
            <w:tcW w:w="1842" w:type="dxa"/>
            <w:tcBorders>
              <w:left w:val="single" w:sz="4" w:space="0" w:color="auto"/>
              <w:right w:val="single" w:sz="4" w:space="0" w:color="auto"/>
            </w:tcBorders>
          </w:tcPr>
          <w:p w:rsidR="0017417D" w:rsidRPr="001D58F2" w:rsidRDefault="0077398A" w:rsidP="004D272A">
            <w:pPr>
              <w:cnfStyle w:val="000000000000"/>
              <w:rPr>
                <w:rFonts w:ascii="Arial" w:hAnsi="Arial" w:cs="Arial"/>
                <w:sz w:val="24"/>
                <w:szCs w:val="24"/>
              </w:rPr>
            </w:pPr>
            <w:r>
              <w:rPr>
                <w:rFonts w:ascii="Arial" w:hAnsi="Arial" w:cs="Arial"/>
                <w:sz w:val="24"/>
                <w:szCs w:val="24"/>
              </w:rPr>
              <w:t>36 (45,</w:t>
            </w:r>
            <w:r w:rsidR="0017417D">
              <w:rPr>
                <w:rFonts w:ascii="Arial" w:hAnsi="Arial" w:cs="Arial"/>
                <w:sz w:val="24"/>
                <w:szCs w:val="24"/>
              </w:rPr>
              <w:t>57%)</w:t>
            </w:r>
          </w:p>
        </w:tc>
        <w:tc>
          <w:tcPr>
            <w:tcW w:w="1843" w:type="dxa"/>
            <w:tcBorders>
              <w:left w:val="single" w:sz="4" w:space="0" w:color="auto"/>
              <w:right w:val="single" w:sz="4" w:space="0" w:color="auto"/>
            </w:tcBorders>
          </w:tcPr>
          <w:p w:rsidR="0017417D" w:rsidRPr="001D58F2" w:rsidRDefault="0077398A" w:rsidP="004D272A">
            <w:pPr>
              <w:cnfStyle w:val="000000000000"/>
              <w:rPr>
                <w:rFonts w:ascii="Arial" w:hAnsi="Arial" w:cs="Arial"/>
                <w:sz w:val="24"/>
                <w:szCs w:val="24"/>
              </w:rPr>
            </w:pPr>
            <w:r>
              <w:rPr>
                <w:rFonts w:ascii="Arial" w:hAnsi="Arial" w:cs="Arial"/>
                <w:sz w:val="24"/>
                <w:szCs w:val="24"/>
              </w:rPr>
              <w:t>22 (27,</w:t>
            </w:r>
            <w:r w:rsidR="0017417D">
              <w:rPr>
                <w:rFonts w:ascii="Arial" w:hAnsi="Arial" w:cs="Arial"/>
                <w:sz w:val="24"/>
                <w:szCs w:val="24"/>
              </w:rPr>
              <w:t>85%)</w:t>
            </w:r>
          </w:p>
        </w:tc>
        <w:tc>
          <w:tcPr>
            <w:tcW w:w="1843" w:type="dxa"/>
            <w:tcBorders>
              <w:left w:val="single" w:sz="4" w:space="0" w:color="auto"/>
              <w:right w:val="single" w:sz="4" w:space="0" w:color="auto"/>
            </w:tcBorders>
          </w:tcPr>
          <w:p w:rsidR="0017417D" w:rsidRPr="001D58F2" w:rsidRDefault="0077398A" w:rsidP="004D272A">
            <w:pPr>
              <w:cnfStyle w:val="000000000000"/>
              <w:rPr>
                <w:rFonts w:ascii="Arial" w:hAnsi="Arial" w:cs="Arial"/>
                <w:sz w:val="24"/>
                <w:szCs w:val="24"/>
              </w:rPr>
            </w:pPr>
            <w:r>
              <w:rPr>
                <w:rFonts w:ascii="Arial" w:hAnsi="Arial" w:cs="Arial"/>
                <w:sz w:val="24"/>
                <w:szCs w:val="24"/>
              </w:rPr>
              <w:t>21 (26,</w:t>
            </w:r>
            <w:r w:rsidR="0017417D">
              <w:rPr>
                <w:rFonts w:ascii="Arial" w:hAnsi="Arial" w:cs="Arial"/>
                <w:sz w:val="24"/>
                <w:szCs w:val="24"/>
              </w:rPr>
              <w:t>25%)</w:t>
            </w:r>
          </w:p>
        </w:tc>
        <w:tc>
          <w:tcPr>
            <w:tcW w:w="992" w:type="dxa"/>
            <w:tcBorders>
              <w:left w:val="single" w:sz="4" w:space="0" w:color="auto"/>
            </w:tcBorders>
          </w:tcPr>
          <w:p w:rsidR="0017417D" w:rsidRPr="005A1F10" w:rsidRDefault="0017417D" w:rsidP="004D272A">
            <w:pPr>
              <w:cnfStyle w:val="000000000000"/>
              <w:rPr>
                <w:rFonts w:ascii="Arial" w:hAnsi="Arial" w:cs="Arial"/>
                <w:sz w:val="24"/>
                <w:szCs w:val="24"/>
              </w:rPr>
            </w:pPr>
            <w:r>
              <w:rPr>
                <w:rFonts w:ascii="Arial" w:hAnsi="Arial" w:cs="Arial"/>
                <w:sz w:val="24"/>
                <w:szCs w:val="24"/>
              </w:rPr>
              <w:t>0,222</w:t>
            </w:r>
          </w:p>
        </w:tc>
      </w:tr>
      <w:tr w:rsidR="0017417D" w:rsidRPr="005A1F10" w:rsidTr="002324A1">
        <w:trPr>
          <w:cnfStyle w:val="000000100000"/>
          <w:trHeight w:val="318"/>
        </w:trPr>
        <w:tc>
          <w:tcPr>
            <w:cnfStyle w:val="001000000000"/>
            <w:tcW w:w="3227" w:type="dxa"/>
            <w:tcBorders>
              <w:right w:val="single" w:sz="4" w:space="0" w:color="auto"/>
            </w:tcBorders>
          </w:tcPr>
          <w:p w:rsidR="0017417D" w:rsidRPr="00BF6101" w:rsidRDefault="0017417D" w:rsidP="004D272A">
            <w:pPr>
              <w:rPr>
                <w:rFonts w:ascii="Arial" w:hAnsi="Arial" w:cs="Arial"/>
                <w:b w:val="0"/>
                <w:sz w:val="24"/>
                <w:szCs w:val="24"/>
              </w:rPr>
            </w:pPr>
            <w:r w:rsidRPr="00BF6101">
              <w:rPr>
                <w:rFonts w:ascii="Arial" w:hAnsi="Arial" w:cs="Arial"/>
                <w:b w:val="0"/>
                <w:sz w:val="24"/>
                <w:szCs w:val="24"/>
              </w:rPr>
              <w:t>Acidemia metabólica</w:t>
            </w:r>
          </w:p>
        </w:tc>
        <w:tc>
          <w:tcPr>
            <w:tcW w:w="1843" w:type="dxa"/>
            <w:tcBorders>
              <w:left w:val="single" w:sz="4" w:space="0" w:color="auto"/>
              <w:right w:val="single" w:sz="4" w:space="0" w:color="auto"/>
            </w:tcBorders>
          </w:tcPr>
          <w:p w:rsidR="0017417D" w:rsidRPr="001D58F2" w:rsidRDefault="0017417D" w:rsidP="0077398A">
            <w:pPr>
              <w:cnfStyle w:val="000000100000"/>
              <w:rPr>
                <w:rFonts w:ascii="Arial" w:hAnsi="Arial" w:cs="Arial"/>
                <w:sz w:val="24"/>
                <w:szCs w:val="24"/>
              </w:rPr>
            </w:pPr>
            <w:r>
              <w:rPr>
                <w:rFonts w:ascii="Arial" w:hAnsi="Arial" w:cs="Arial"/>
                <w:sz w:val="24"/>
                <w:szCs w:val="24"/>
              </w:rPr>
              <w:t>9</w:t>
            </w:r>
            <w:r w:rsidR="0077398A">
              <w:rPr>
                <w:rFonts w:ascii="Arial" w:hAnsi="Arial" w:cs="Arial"/>
                <w:sz w:val="24"/>
                <w:szCs w:val="24"/>
              </w:rPr>
              <w:t>1 (38,24</w:t>
            </w:r>
            <w:r>
              <w:rPr>
                <w:rFonts w:ascii="Arial" w:hAnsi="Arial" w:cs="Arial"/>
                <w:sz w:val="24"/>
                <w:szCs w:val="24"/>
              </w:rPr>
              <w:t>%)</w:t>
            </w:r>
          </w:p>
        </w:tc>
        <w:tc>
          <w:tcPr>
            <w:tcW w:w="1842" w:type="dxa"/>
            <w:tcBorders>
              <w:left w:val="single" w:sz="4" w:space="0" w:color="auto"/>
              <w:right w:val="single" w:sz="4" w:space="0" w:color="auto"/>
            </w:tcBorders>
          </w:tcPr>
          <w:p w:rsidR="0017417D" w:rsidRPr="001D58F2" w:rsidRDefault="0077398A" w:rsidP="004D272A">
            <w:pPr>
              <w:cnfStyle w:val="000000100000"/>
              <w:rPr>
                <w:rFonts w:ascii="Arial" w:hAnsi="Arial" w:cs="Arial"/>
                <w:sz w:val="24"/>
                <w:szCs w:val="24"/>
              </w:rPr>
            </w:pPr>
            <w:r>
              <w:rPr>
                <w:rFonts w:ascii="Arial" w:hAnsi="Arial" w:cs="Arial"/>
                <w:sz w:val="24"/>
                <w:szCs w:val="24"/>
              </w:rPr>
              <w:t>23 (29,</w:t>
            </w:r>
            <w:r w:rsidR="0017417D">
              <w:rPr>
                <w:rFonts w:ascii="Arial" w:hAnsi="Arial" w:cs="Arial"/>
                <w:sz w:val="24"/>
                <w:szCs w:val="24"/>
              </w:rPr>
              <w:t>11%)</w:t>
            </w:r>
          </w:p>
        </w:tc>
        <w:tc>
          <w:tcPr>
            <w:tcW w:w="1843" w:type="dxa"/>
            <w:tcBorders>
              <w:left w:val="single" w:sz="4" w:space="0" w:color="auto"/>
              <w:right w:val="single" w:sz="4" w:space="0" w:color="auto"/>
            </w:tcBorders>
          </w:tcPr>
          <w:p w:rsidR="0017417D" w:rsidRPr="001D58F2" w:rsidRDefault="0077398A" w:rsidP="004D272A">
            <w:pPr>
              <w:cnfStyle w:val="000000100000"/>
              <w:rPr>
                <w:rFonts w:ascii="Arial" w:hAnsi="Arial" w:cs="Arial"/>
                <w:sz w:val="24"/>
                <w:szCs w:val="24"/>
              </w:rPr>
            </w:pPr>
            <w:r>
              <w:rPr>
                <w:rFonts w:ascii="Arial" w:hAnsi="Arial" w:cs="Arial"/>
                <w:sz w:val="24"/>
                <w:szCs w:val="24"/>
              </w:rPr>
              <w:t>28 (35,</w:t>
            </w:r>
            <w:r w:rsidR="0017417D">
              <w:rPr>
                <w:rFonts w:ascii="Arial" w:hAnsi="Arial" w:cs="Arial"/>
                <w:sz w:val="24"/>
                <w:szCs w:val="24"/>
              </w:rPr>
              <w:t>44%)</w:t>
            </w:r>
          </w:p>
        </w:tc>
        <w:tc>
          <w:tcPr>
            <w:tcW w:w="1843" w:type="dxa"/>
            <w:tcBorders>
              <w:left w:val="single" w:sz="4" w:space="0" w:color="auto"/>
              <w:right w:val="single" w:sz="4" w:space="0" w:color="auto"/>
            </w:tcBorders>
          </w:tcPr>
          <w:p w:rsidR="0017417D" w:rsidRPr="001D58F2" w:rsidRDefault="0077398A" w:rsidP="004D272A">
            <w:pPr>
              <w:cnfStyle w:val="000000100000"/>
              <w:rPr>
                <w:rFonts w:ascii="Arial" w:hAnsi="Arial" w:cs="Arial"/>
                <w:sz w:val="24"/>
                <w:szCs w:val="24"/>
              </w:rPr>
            </w:pPr>
            <w:r>
              <w:rPr>
                <w:rFonts w:ascii="Arial" w:hAnsi="Arial" w:cs="Arial"/>
                <w:sz w:val="24"/>
                <w:szCs w:val="24"/>
              </w:rPr>
              <w:t>40 (50,</w:t>
            </w:r>
            <w:r w:rsidR="0017417D">
              <w:rPr>
                <w:rFonts w:ascii="Arial" w:hAnsi="Arial" w:cs="Arial"/>
                <w:sz w:val="24"/>
                <w:szCs w:val="24"/>
              </w:rPr>
              <w:t>00%)</w:t>
            </w:r>
          </w:p>
        </w:tc>
        <w:tc>
          <w:tcPr>
            <w:tcW w:w="992" w:type="dxa"/>
            <w:tcBorders>
              <w:left w:val="single" w:sz="4" w:space="0" w:color="auto"/>
            </w:tcBorders>
          </w:tcPr>
          <w:p w:rsidR="0017417D" w:rsidRPr="0077398A" w:rsidRDefault="00650778" w:rsidP="004D272A">
            <w:pPr>
              <w:cnfStyle w:val="000000100000"/>
              <w:rPr>
                <w:rFonts w:ascii="Arial" w:hAnsi="Arial" w:cs="Arial"/>
                <w:b/>
                <w:sz w:val="24"/>
                <w:szCs w:val="24"/>
                <w:vertAlign w:val="superscript"/>
              </w:rPr>
            </w:pPr>
            <w:r>
              <w:rPr>
                <w:rFonts w:ascii="Arial" w:hAnsi="Arial" w:cs="Arial"/>
                <w:b/>
                <w:sz w:val="24"/>
                <w:szCs w:val="24"/>
              </w:rPr>
              <w:t>0,</w:t>
            </w:r>
            <w:r w:rsidR="0017417D" w:rsidRPr="0077398A">
              <w:rPr>
                <w:rFonts w:ascii="Arial" w:hAnsi="Arial" w:cs="Arial"/>
                <w:b/>
                <w:sz w:val="24"/>
                <w:szCs w:val="24"/>
              </w:rPr>
              <w:t>000</w:t>
            </w:r>
            <w:r w:rsidR="0017417D" w:rsidRPr="0077398A">
              <w:rPr>
                <w:rFonts w:ascii="Arial" w:hAnsi="Arial" w:cs="Arial"/>
                <w:b/>
                <w:sz w:val="24"/>
                <w:szCs w:val="24"/>
                <w:vertAlign w:val="superscript"/>
              </w:rPr>
              <w:t>c</w:t>
            </w:r>
          </w:p>
        </w:tc>
      </w:tr>
      <w:tr w:rsidR="0017417D" w:rsidRPr="005A1F10" w:rsidTr="002324A1">
        <w:trPr>
          <w:trHeight w:val="318"/>
        </w:trPr>
        <w:tc>
          <w:tcPr>
            <w:cnfStyle w:val="001000000000"/>
            <w:tcW w:w="3227" w:type="dxa"/>
            <w:tcBorders>
              <w:right w:val="single" w:sz="4" w:space="0" w:color="auto"/>
            </w:tcBorders>
          </w:tcPr>
          <w:p w:rsidR="0017417D" w:rsidRPr="00BF6101" w:rsidRDefault="0017417D" w:rsidP="004D272A">
            <w:pPr>
              <w:rPr>
                <w:rFonts w:ascii="Arial" w:hAnsi="Arial" w:cs="Arial"/>
                <w:b w:val="0"/>
                <w:sz w:val="24"/>
                <w:szCs w:val="24"/>
              </w:rPr>
            </w:pPr>
            <w:r>
              <w:rPr>
                <w:rFonts w:ascii="Arial" w:hAnsi="Arial" w:cs="Arial"/>
                <w:b w:val="0"/>
                <w:sz w:val="24"/>
                <w:szCs w:val="24"/>
              </w:rPr>
              <w:t>BUN (mg/dl)</w:t>
            </w:r>
            <w:r w:rsidRPr="00BF6101">
              <w:rPr>
                <w:rFonts w:ascii="Arial" w:hAnsi="Arial" w:cs="Arial"/>
                <w:sz w:val="24"/>
                <w:szCs w:val="24"/>
                <w:vertAlign w:val="superscript"/>
              </w:rPr>
              <w:t xml:space="preserve"> a</w:t>
            </w:r>
          </w:p>
        </w:tc>
        <w:tc>
          <w:tcPr>
            <w:tcW w:w="1843" w:type="dxa"/>
            <w:tcBorders>
              <w:left w:val="single" w:sz="4" w:space="0" w:color="auto"/>
              <w:right w:val="single" w:sz="4" w:space="0" w:color="auto"/>
            </w:tcBorders>
          </w:tcPr>
          <w:p w:rsidR="0017417D" w:rsidRDefault="0077398A" w:rsidP="004D272A">
            <w:pPr>
              <w:cnfStyle w:val="000000000000"/>
              <w:rPr>
                <w:rFonts w:ascii="Arial" w:hAnsi="Arial" w:cs="Arial"/>
                <w:sz w:val="24"/>
                <w:szCs w:val="24"/>
              </w:rPr>
            </w:pPr>
            <w:r>
              <w:rPr>
                <w:rFonts w:ascii="Arial" w:hAnsi="Arial" w:cs="Arial"/>
                <w:sz w:val="24"/>
                <w:szCs w:val="24"/>
              </w:rPr>
              <w:t>31,23 (±7,</w:t>
            </w:r>
            <w:r w:rsidR="0017417D">
              <w:rPr>
                <w:rFonts w:ascii="Arial" w:hAnsi="Arial" w:cs="Arial"/>
                <w:sz w:val="24"/>
                <w:szCs w:val="24"/>
              </w:rPr>
              <w:t>84)</w:t>
            </w:r>
          </w:p>
        </w:tc>
        <w:tc>
          <w:tcPr>
            <w:tcW w:w="1842" w:type="dxa"/>
            <w:tcBorders>
              <w:left w:val="single" w:sz="4" w:space="0" w:color="auto"/>
              <w:right w:val="single" w:sz="4" w:space="0" w:color="auto"/>
            </w:tcBorders>
          </w:tcPr>
          <w:p w:rsidR="0017417D" w:rsidRDefault="0077398A" w:rsidP="004D272A">
            <w:pPr>
              <w:cnfStyle w:val="000000000000"/>
              <w:rPr>
                <w:rFonts w:ascii="Arial" w:hAnsi="Arial" w:cs="Arial"/>
                <w:sz w:val="24"/>
                <w:szCs w:val="24"/>
              </w:rPr>
            </w:pPr>
            <w:r>
              <w:rPr>
                <w:rFonts w:ascii="Arial" w:hAnsi="Arial" w:cs="Arial"/>
                <w:sz w:val="24"/>
                <w:szCs w:val="24"/>
              </w:rPr>
              <w:t>29,35 (±4,</w:t>
            </w:r>
            <w:r w:rsidR="0017417D">
              <w:rPr>
                <w:rFonts w:ascii="Arial" w:hAnsi="Arial" w:cs="Arial"/>
                <w:sz w:val="24"/>
                <w:szCs w:val="24"/>
              </w:rPr>
              <w:t>28)</w:t>
            </w:r>
          </w:p>
        </w:tc>
        <w:tc>
          <w:tcPr>
            <w:tcW w:w="1843" w:type="dxa"/>
            <w:tcBorders>
              <w:left w:val="single" w:sz="4" w:space="0" w:color="auto"/>
              <w:right w:val="single" w:sz="4" w:space="0" w:color="auto"/>
            </w:tcBorders>
          </w:tcPr>
          <w:p w:rsidR="0017417D" w:rsidRDefault="0077398A" w:rsidP="004D272A">
            <w:pPr>
              <w:cnfStyle w:val="000000000000"/>
              <w:rPr>
                <w:rFonts w:ascii="Arial" w:hAnsi="Arial" w:cs="Arial"/>
                <w:sz w:val="24"/>
                <w:szCs w:val="24"/>
              </w:rPr>
            </w:pPr>
            <w:r>
              <w:rPr>
                <w:rFonts w:ascii="Arial" w:hAnsi="Arial" w:cs="Arial"/>
                <w:sz w:val="24"/>
                <w:szCs w:val="24"/>
              </w:rPr>
              <w:t>31,51 (±6,</w:t>
            </w:r>
            <w:r w:rsidR="0017417D">
              <w:rPr>
                <w:rFonts w:ascii="Arial" w:hAnsi="Arial" w:cs="Arial"/>
                <w:sz w:val="24"/>
                <w:szCs w:val="24"/>
              </w:rPr>
              <w:t>78)</w:t>
            </w:r>
          </w:p>
        </w:tc>
        <w:tc>
          <w:tcPr>
            <w:tcW w:w="1843" w:type="dxa"/>
            <w:tcBorders>
              <w:left w:val="single" w:sz="4" w:space="0" w:color="auto"/>
              <w:right w:val="single" w:sz="4" w:space="0" w:color="auto"/>
            </w:tcBorders>
          </w:tcPr>
          <w:p w:rsidR="0017417D" w:rsidRDefault="0077398A" w:rsidP="004D272A">
            <w:pPr>
              <w:cnfStyle w:val="000000000000"/>
              <w:rPr>
                <w:rFonts w:ascii="Arial" w:hAnsi="Arial" w:cs="Arial"/>
                <w:sz w:val="24"/>
                <w:szCs w:val="24"/>
              </w:rPr>
            </w:pPr>
            <w:r>
              <w:rPr>
                <w:rFonts w:ascii="Arial" w:hAnsi="Arial" w:cs="Arial"/>
                <w:sz w:val="24"/>
                <w:szCs w:val="24"/>
              </w:rPr>
              <w:t>33,00(±10,</w:t>
            </w:r>
            <w:r w:rsidR="0017417D">
              <w:rPr>
                <w:rFonts w:ascii="Arial" w:hAnsi="Arial" w:cs="Arial"/>
                <w:sz w:val="24"/>
                <w:szCs w:val="24"/>
              </w:rPr>
              <w:t>58)</w:t>
            </w:r>
          </w:p>
        </w:tc>
        <w:tc>
          <w:tcPr>
            <w:tcW w:w="992" w:type="dxa"/>
            <w:tcBorders>
              <w:left w:val="single" w:sz="4" w:space="0" w:color="auto"/>
            </w:tcBorders>
          </w:tcPr>
          <w:p w:rsidR="0017417D" w:rsidRPr="005A1F10" w:rsidRDefault="0017417D" w:rsidP="004D272A">
            <w:pPr>
              <w:cnfStyle w:val="000000000000"/>
              <w:rPr>
                <w:rFonts w:ascii="Arial" w:hAnsi="Arial" w:cs="Arial"/>
                <w:sz w:val="24"/>
                <w:szCs w:val="24"/>
              </w:rPr>
            </w:pPr>
            <w:r>
              <w:rPr>
                <w:rFonts w:ascii="Arial" w:hAnsi="Arial" w:cs="Arial"/>
                <w:sz w:val="24"/>
                <w:szCs w:val="24"/>
              </w:rPr>
              <w:t>0,138</w:t>
            </w:r>
          </w:p>
        </w:tc>
      </w:tr>
      <w:tr w:rsidR="0017417D" w:rsidRPr="005A1F10" w:rsidTr="002324A1">
        <w:trPr>
          <w:cnfStyle w:val="000000100000"/>
          <w:trHeight w:val="318"/>
        </w:trPr>
        <w:tc>
          <w:tcPr>
            <w:cnfStyle w:val="001000000000"/>
            <w:tcW w:w="3227" w:type="dxa"/>
            <w:tcBorders>
              <w:right w:val="single" w:sz="4" w:space="0" w:color="auto"/>
            </w:tcBorders>
          </w:tcPr>
          <w:p w:rsidR="0017417D" w:rsidRPr="00BF6101" w:rsidRDefault="0017417D" w:rsidP="004D272A">
            <w:pPr>
              <w:rPr>
                <w:rFonts w:ascii="Arial" w:hAnsi="Arial" w:cs="Arial"/>
                <w:b w:val="0"/>
                <w:sz w:val="24"/>
                <w:szCs w:val="24"/>
              </w:rPr>
            </w:pPr>
            <w:r>
              <w:rPr>
                <w:rFonts w:ascii="Arial" w:hAnsi="Arial" w:cs="Arial"/>
                <w:b w:val="0"/>
                <w:sz w:val="24"/>
                <w:szCs w:val="24"/>
              </w:rPr>
              <w:t>Creatinina (mg/dl)</w:t>
            </w:r>
            <w:r w:rsidRPr="00BF6101">
              <w:rPr>
                <w:rFonts w:ascii="Arial" w:hAnsi="Arial" w:cs="Arial"/>
                <w:sz w:val="24"/>
                <w:szCs w:val="24"/>
                <w:vertAlign w:val="superscript"/>
              </w:rPr>
              <w:t xml:space="preserve"> a</w:t>
            </w:r>
          </w:p>
        </w:tc>
        <w:tc>
          <w:tcPr>
            <w:tcW w:w="1843" w:type="dxa"/>
            <w:tcBorders>
              <w:left w:val="single" w:sz="4" w:space="0" w:color="auto"/>
              <w:right w:val="single" w:sz="4" w:space="0" w:color="auto"/>
            </w:tcBorders>
          </w:tcPr>
          <w:p w:rsidR="0017417D" w:rsidRDefault="0077398A" w:rsidP="004D272A">
            <w:pPr>
              <w:cnfStyle w:val="000000100000"/>
              <w:rPr>
                <w:rFonts w:ascii="Arial" w:hAnsi="Arial" w:cs="Arial"/>
                <w:sz w:val="24"/>
                <w:szCs w:val="24"/>
              </w:rPr>
            </w:pPr>
            <w:r>
              <w:rPr>
                <w:rFonts w:ascii="Arial" w:hAnsi="Arial" w:cs="Arial"/>
                <w:sz w:val="24"/>
                <w:szCs w:val="24"/>
              </w:rPr>
              <w:t>1,05 (±0,</w:t>
            </w:r>
            <w:r w:rsidR="0017417D">
              <w:rPr>
                <w:rFonts w:ascii="Arial" w:hAnsi="Arial" w:cs="Arial"/>
                <w:sz w:val="24"/>
                <w:szCs w:val="24"/>
              </w:rPr>
              <w:t>25)</w:t>
            </w:r>
          </w:p>
        </w:tc>
        <w:tc>
          <w:tcPr>
            <w:tcW w:w="1842" w:type="dxa"/>
            <w:tcBorders>
              <w:left w:val="single" w:sz="4" w:space="0" w:color="auto"/>
              <w:right w:val="single" w:sz="4" w:space="0" w:color="auto"/>
            </w:tcBorders>
          </w:tcPr>
          <w:p w:rsidR="0017417D" w:rsidRDefault="0077398A" w:rsidP="004D272A">
            <w:pPr>
              <w:cnfStyle w:val="000000100000"/>
              <w:rPr>
                <w:rFonts w:ascii="Arial" w:hAnsi="Arial" w:cs="Arial"/>
                <w:sz w:val="24"/>
                <w:szCs w:val="24"/>
              </w:rPr>
            </w:pPr>
            <w:r>
              <w:rPr>
                <w:rFonts w:ascii="Arial" w:hAnsi="Arial" w:cs="Arial"/>
                <w:sz w:val="24"/>
                <w:szCs w:val="24"/>
              </w:rPr>
              <w:t>2,96 (±0,</w:t>
            </w:r>
            <w:r w:rsidR="0017417D">
              <w:rPr>
                <w:rFonts w:ascii="Arial" w:hAnsi="Arial" w:cs="Arial"/>
                <w:sz w:val="24"/>
                <w:szCs w:val="24"/>
              </w:rPr>
              <w:t>29)</w:t>
            </w:r>
          </w:p>
        </w:tc>
        <w:tc>
          <w:tcPr>
            <w:tcW w:w="1843" w:type="dxa"/>
            <w:tcBorders>
              <w:left w:val="single" w:sz="4" w:space="0" w:color="auto"/>
              <w:right w:val="single" w:sz="4" w:space="0" w:color="auto"/>
            </w:tcBorders>
          </w:tcPr>
          <w:p w:rsidR="0017417D" w:rsidRDefault="0077398A" w:rsidP="004D272A">
            <w:pPr>
              <w:cnfStyle w:val="000000100000"/>
              <w:rPr>
                <w:rFonts w:ascii="Arial" w:hAnsi="Arial" w:cs="Arial"/>
                <w:sz w:val="24"/>
                <w:szCs w:val="24"/>
              </w:rPr>
            </w:pPr>
            <w:r>
              <w:rPr>
                <w:rFonts w:ascii="Arial" w:hAnsi="Arial" w:cs="Arial"/>
                <w:sz w:val="24"/>
                <w:szCs w:val="24"/>
              </w:rPr>
              <w:t>3,14 (±0,</w:t>
            </w:r>
            <w:r w:rsidR="0017417D">
              <w:rPr>
                <w:rFonts w:ascii="Arial" w:hAnsi="Arial" w:cs="Arial"/>
                <w:sz w:val="24"/>
                <w:szCs w:val="24"/>
              </w:rPr>
              <w:t>22)</w:t>
            </w:r>
          </w:p>
        </w:tc>
        <w:tc>
          <w:tcPr>
            <w:tcW w:w="1843" w:type="dxa"/>
            <w:tcBorders>
              <w:left w:val="single" w:sz="4" w:space="0" w:color="auto"/>
              <w:right w:val="single" w:sz="4" w:space="0" w:color="auto"/>
            </w:tcBorders>
          </w:tcPr>
          <w:p w:rsidR="0017417D" w:rsidRDefault="0077398A" w:rsidP="004D272A">
            <w:pPr>
              <w:cnfStyle w:val="000000100000"/>
              <w:rPr>
                <w:rFonts w:ascii="Arial" w:hAnsi="Arial" w:cs="Arial"/>
                <w:sz w:val="24"/>
                <w:szCs w:val="24"/>
              </w:rPr>
            </w:pPr>
            <w:r>
              <w:rPr>
                <w:rFonts w:ascii="Arial" w:hAnsi="Arial" w:cs="Arial"/>
                <w:sz w:val="24"/>
                <w:szCs w:val="24"/>
              </w:rPr>
              <w:t>3,87(±0,</w:t>
            </w:r>
            <w:r w:rsidR="0017417D">
              <w:rPr>
                <w:rFonts w:ascii="Arial" w:hAnsi="Arial" w:cs="Arial"/>
                <w:sz w:val="24"/>
                <w:szCs w:val="24"/>
              </w:rPr>
              <w:t>19)</w:t>
            </w:r>
          </w:p>
        </w:tc>
        <w:tc>
          <w:tcPr>
            <w:tcW w:w="992" w:type="dxa"/>
            <w:tcBorders>
              <w:left w:val="single" w:sz="4" w:space="0" w:color="auto"/>
            </w:tcBorders>
          </w:tcPr>
          <w:p w:rsidR="0017417D" w:rsidRPr="005A1F10" w:rsidRDefault="0017417D" w:rsidP="004D272A">
            <w:pPr>
              <w:cnfStyle w:val="000000100000"/>
              <w:rPr>
                <w:rFonts w:ascii="Arial" w:hAnsi="Arial" w:cs="Arial"/>
                <w:sz w:val="24"/>
                <w:szCs w:val="24"/>
              </w:rPr>
            </w:pPr>
            <w:r>
              <w:rPr>
                <w:rFonts w:ascii="Arial" w:hAnsi="Arial" w:cs="Arial"/>
                <w:sz w:val="24"/>
                <w:szCs w:val="24"/>
              </w:rPr>
              <w:t>0,081</w:t>
            </w:r>
          </w:p>
        </w:tc>
      </w:tr>
      <w:tr w:rsidR="0017417D" w:rsidRPr="005A1F10" w:rsidTr="002324A1">
        <w:trPr>
          <w:trHeight w:val="318"/>
        </w:trPr>
        <w:tc>
          <w:tcPr>
            <w:cnfStyle w:val="001000000000"/>
            <w:tcW w:w="3227" w:type="dxa"/>
            <w:tcBorders>
              <w:right w:val="single" w:sz="4" w:space="0" w:color="auto"/>
            </w:tcBorders>
          </w:tcPr>
          <w:p w:rsidR="0017417D" w:rsidRPr="00BF6101" w:rsidRDefault="0017417D" w:rsidP="004D272A">
            <w:pPr>
              <w:rPr>
                <w:rFonts w:ascii="Arial" w:hAnsi="Arial" w:cs="Arial"/>
                <w:b w:val="0"/>
                <w:sz w:val="24"/>
                <w:szCs w:val="24"/>
              </w:rPr>
            </w:pPr>
            <w:r w:rsidRPr="00BF6101">
              <w:rPr>
                <w:rFonts w:ascii="Arial" w:hAnsi="Arial" w:cs="Arial"/>
                <w:b w:val="0"/>
                <w:sz w:val="24"/>
                <w:szCs w:val="24"/>
              </w:rPr>
              <w:t>Hiperpotasemia</w:t>
            </w:r>
          </w:p>
        </w:tc>
        <w:tc>
          <w:tcPr>
            <w:tcW w:w="1843" w:type="dxa"/>
            <w:tcBorders>
              <w:left w:val="single" w:sz="4" w:space="0" w:color="auto"/>
              <w:right w:val="single" w:sz="4" w:space="0" w:color="auto"/>
            </w:tcBorders>
          </w:tcPr>
          <w:p w:rsidR="0017417D" w:rsidRPr="001D58F2" w:rsidRDefault="0017417D" w:rsidP="008B6D50">
            <w:pPr>
              <w:cnfStyle w:val="000000000000"/>
              <w:rPr>
                <w:rFonts w:ascii="Arial" w:hAnsi="Arial" w:cs="Arial"/>
                <w:sz w:val="24"/>
                <w:szCs w:val="24"/>
              </w:rPr>
            </w:pPr>
            <w:r>
              <w:rPr>
                <w:rFonts w:ascii="Arial" w:hAnsi="Arial" w:cs="Arial"/>
                <w:sz w:val="24"/>
                <w:szCs w:val="24"/>
              </w:rPr>
              <w:t>6</w:t>
            </w:r>
            <w:r w:rsidR="008B6D50">
              <w:rPr>
                <w:rFonts w:ascii="Arial" w:hAnsi="Arial" w:cs="Arial"/>
                <w:sz w:val="24"/>
                <w:szCs w:val="24"/>
              </w:rPr>
              <w:t xml:space="preserve">2 </w:t>
            </w:r>
            <w:r>
              <w:rPr>
                <w:rFonts w:ascii="Arial" w:hAnsi="Arial" w:cs="Arial"/>
                <w:sz w:val="24"/>
                <w:szCs w:val="24"/>
              </w:rPr>
              <w:t>(2</w:t>
            </w:r>
            <w:r w:rsidR="008B6D50">
              <w:rPr>
                <w:rFonts w:ascii="Arial" w:hAnsi="Arial" w:cs="Arial"/>
                <w:sz w:val="24"/>
                <w:szCs w:val="24"/>
              </w:rPr>
              <w:t>6,05</w:t>
            </w:r>
            <w:r>
              <w:rPr>
                <w:rFonts w:ascii="Arial" w:hAnsi="Arial" w:cs="Arial"/>
                <w:sz w:val="24"/>
                <w:szCs w:val="24"/>
              </w:rPr>
              <w:t>%)</w:t>
            </w:r>
          </w:p>
        </w:tc>
        <w:tc>
          <w:tcPr>
            <w:tcW w:w="1842" w:type="dxa"/>
            <w:tcBorders>
              <w:left w:val="single" w:sz="4" w:space="0" w:color="auto"/>
              <w:right w:val="single" w:sz="4" w:space="0" w:color="auto"/>
            </w:tcBorders>
          </w:tcPr>
          <w:p w:rsidR="0017417D" w:rsidRPr="001D58F2" w:rsidRDefault="008B6D50" w:rsidP="004D272A">
            <w:pPr>
              <w:cnfStyle w:val="000000000000"/>
              <w:rPr>
                <w:rFonts w:ascii="Arial" w:hAnsi="Arial" w:cs="Arial"/>
                <w:sz w:val="24"/>
                <w:szCs w:val="24"/>
              </w:rPr>
            </w:pPr>
            <w:r>
              <w:rPr>
                <w:rFonts w:ascii="Arial" w:hAnsi="Arial" w:cs="Arial"/>
                <w:sz w:val="24"/>
                <w:szCs w:val="24"/>
              </w:rPr>
              <w:t>13 (16,</w:t>
            </w:r>
            <w:r w:rsidR="0017417D">
              <w:rPr>
                <w:rFonts w:ascii="Arial" w:hAnsi="Arial" w:cs="Arial"/>
                <w:sz w:val="24"/>
                <w:szCs w:val="24"/>
              </w:rPr>
              <w:t>46%)</w:t>
            </w:r>
          </w:p>
        </w:tc>
        <w:tc>
          <w:tcPr>
            <w:tcW w:w="1843" w:type="dxa"/>
            <w:tcBorders>
              <w:left w:val="single" w:sz="4" w:space="0" w:color="auto"/>
              <w:right w:val="single" w:sz="4" w:space="0" w:color="auto"/>
            </w:tcBorders>
          </w:tcPr>
          <w:p w:rsidR="0017417D" w:rsidRPr="001D58F2" w:rsidRDefault="008B6D50" w:rsidP="004D272A">
            <w:pPr>
              <w:cnfStyle w:val="000000000000"/>
              <w:rPr>
                <w:rFonts w:ascii="Arial" w:hAnsi="Arial" w:cs="Arial"/>
                <w:sz w:val="24"/>
                <w:szCs w:val="24"/>
              </w:rPr>
            </w:pPr>
            <w:r>
              <w:rPr>
                <w:rFonts w:ascii="Arial" w:hAnsi="Arial" w:cs="Arial"/>
                <w:sz w:val="24"/>
                <w:szCs w:val="24"/>
              </w:rPr>
              <w:t>10 (12,</w:t>
            </w:r>
            <w:r w:rsidR="0017417D">
              <w:rPr>
                <w:rFonts w:ascii="Arial" w:hAnsi="Arial" w:cs="Arial"/>
                <w:sz w:val="24"/>
                <w:szCs w:val="24"/>
              </w:rPr>
              <w:t>66%)</w:t>
            </w:r>
          </w:p>
        </w:tc>
        <w:tc>
          <w:tcPr>
            <w:tcW w:w="1843" w:type="dxa"/>
            <w:tcBorders>
              <w:left w:val="single" w:sz="4" w:space="0" w:color="auto"/>
              <w:right w:val="single" w:sz="4" w:space="0" w:color="auto"/>
            </w:tcBorders>
          </w:tcPr>
          <w:p w:rsidR="0017417D" w:rsidRPr="001D58F2" w:rsidRDefault="008B6D50" w:rsidP="004D272A">
            <w:pPr>
              <w:cnfStyle w:val="000000000000"/>
              <w:rPr>
                <w:rFonts w:ascii="Arial" w:hAnsi="Arial" w:cs="Arial"/>
                <w:sz w:val="24"/>
                <w:szCs w:val="24"/>
              </w:rPr>
            </w:pPr>
            <w:r>
              <w:rPr>
                <w:rFonts w:ascii="Arial" w:hAnsi="Arial" w:cs="Arial"/>
                <w:sz w:val="24"/>
                <w:szCs w:val="24"/>
              </w:rPr>
              <w:t>39 (48,</w:t>
            </w:r>
            <w:r w:rsidR="0017417D">
              <w:rPr>
                <w:rFonts w:ascii="Arial" w:hAnsi="Arial" w:cs="Arial"/>
                <w:sz w:val="24"/>
                <w:szCs w:val="24"/>
              </w:rPr>
              <w:t>75%)</w:t>
            </w:r>
          </w:p>
        </w:tc>
        <w:tc>
          <w:tcPr>
            <w:tcW w:w="992" w:type="dxa"/>
            <w:tcBorders>
              <w:left w:val="single" w:sz="4" w:space="0" w:color="auto"/>
            </w:tcBorders>
          </w:tcPr>
          <w:p w:rsidR="0017417D" w:rsidRPr="008B6D50" w:rsidRDefault="0017417D" w:rsidP="003F3446">
            <w:pPr>
              <w:cnfStyle w:val="000000000000"/>
              <w:rPr>
                <w:rFonts w:ascii="Arial" w:hAnsi="Arial" w:cs="Arial"/>
                <w:b/>
                <w:sz w:val="24"/>
                <w:szCs w:val="24"/>
                <w:vertAlign w:val="superscript"/>
              </w:rPr>
            </w:pPr>
            <w:r w:rsidRPr="008B6D50">
              <w:rPr>
                <w:rFonts w:ascii="Arial" w:hAnsi="Arial" w:cs="Arial"/>
                <w:b/>
                <w:sz w:val="24"/>
                <w:szCs w:val="24"/>
              </w:rPr>
              <w:t>0,00</w:t>
            </w:r>
            <w:r w:rsidR="003F3446">
              <w:rPr>
                <w:rFonts w:ascii="Arial" w:hAnsi="Arial" w:cs="Arial"/>
                <w:b/>
                <w:sz w:val="24"/>
                <w:szCs w:val="24"/>
              </w:rPr>
              <w:t>7</w:t>
            </w:r>
            <w:r w:rsidRPr="008B6D50">
              <w:rPr>
                <w:rFonts w:ascii="Arial" w:hAnsi="Arial" w:cs="Arial"/>
                <w:b/>
                <w:sz w:val="24"/>
                <w:szCs w:val="24"/>
                <w:vertAlign w:val="superscript"/>
              </w:rPr>
              <w:t>c</w:t>
            </w:r>
          </w:p>
        </w:tc>
      </w:tr>
      <w:tr w:rsidR="0017417D" w:rsidRPr="005A1F10" w:rsidTr="002324A1">
        <w:trPr>
          <w:cnfStyle w:val="000000100000"/>
          <w:trHeight w:val="336"/>
        </w:trPr>
        <w:tc>
          <w:tcPr>
            <w:cnfStyle w:val="001000000000"/>
            <w:tcW w:w="3227" w:type="dxa"/>
            <w:tcBorders>
              <w:right w:val="single" w:sz="4" w:space="0" w:color="auto"/>
            </w:tcBorders>
          </w:tcPr>
          <w:p w:rsidR="0017417D" w:rsidRPr="00BF6101" w:rsidRDefault="0017417D" w:rsidP="004D272A">
            <w:pPr>
              <w:rPr>
                <w:rFonts w:ascii="Arial" w:hAnsi="Arial" w:cs="Arial"/>
                <w:b w:val="0"/>
                <w:sz w:val="24"/>
                <w:szCs w:val="24"/>
              </w:rPr>
            </w:pPr>
            <w:r w:rsidRPr="00BF6101">
              <w:rPr>
                <w:rFonts w:ascii="Arial" w:hAnsi="Arial" w:cs="Arial"/>
                <w:b w:val="0"/>
                <w:sz w:val="24"/>
                <w:szCs w:val="24"/>
              </w:rPr>
              <w:t>Oligoanuria</w:t>
            </w:r>
          </w:p>
        </w:tc>
        <w:tc>
          <w:tcPr>
            <w:tcW w:w="1843" w:type="dxa"/>
            <w:tcBorders>
              <w:left w:val="single" w:sz="4" w:space="0" w:color="auto"/>
              <w:right w:val="single" w:sz="4" w:space="0" w:color="auto"/>
            </w:tcBorders>
          </w:tcPr>
          <w:p w:rsidR="0017417D" w:rsidRPr="001D58F2" w:rsidRDefault="008B6D50" w:rsidP="004D272A">
            <w:pPr>
              <w:cnfStyle w:val="000000100000"/>
              <w:rPr>
                <w:rFonts w:ascii="Arial" w:hAnsi="Arial" w:cs="Arial"/>
                <w:sz w:val="24"/>
                <w:szCs w:val="24"/>
              </w:rPr>
            </w:pPr>
            <w:r>
              <w:rPr>
                <w:rFonts w:ascii="Arial" w:hAnsi="Arial" w:cs="Arial"/>
                <w:sz w:val="24"/>
                <w:szCs w:val="24"/>
              </w:rPr>
              <w:t>102 (42,</w:t>
            </w:r>
            <w:r w:rsidR="0017417D">
              <w:rPr>
                <w:rFonts w:ascii="Arial" w:hAnsi="Arial" w:cs="Arial"/>
                <w:sz w:val="24"/>
                <w:szCs w:val="24"/>
              </w:rPr>
              <w:t>86%)</w:t>
            </w:r>
          </w:p>
        </w:tc>
        <w:tc>
          <w:tcPr>
            <w:tcW w:w="1842" w:type="dxa"/>
            <w:tcBorders>
              <w:left w:val="single" w:sz="4" w:space="0" w:color="auto"/>
              <w:right w:val="single" w:sz="4" w:space="0" w:color="auto"/>
            </w:tcBorders>
          </w:tcPr>
          <w:p w:rsidR="0017417D" w:rsidRPr="001D58F2" w:rsidRDefault="008B6D50" w:rsidP="004D272A">
            <w:pPr>
              <w:cnfStyle w:val="000000100000"/>
              <w:rPr>
                <w:rFonts w:ascii="Arial" w:hAnsi="Arial" w:cs="Arial"/>
                <w:sz w:val="24"/>
                <w:szCs w:val="24"/>
              </w:rPr>
            </w:pPr>
            <w:r>
              <w:rPr>
                <w:rFonts w:ascii="Arial" w:hAnsi="Arial" w:cs="Arial"/>
                <w:sz w:val="24"/>
                <w:szCs w:val="24"/>
              </w:rPr>
              <w:t>28 (35,</w:t>
            </w:r>
            <w:r w:rsidR="0017417D">
              <w:rPr>
                <w:rFonts w:ascii="Arial" w:hAnsi="Arial" w:cs="Arial"/>
                <w:sz w:val="24"/>
                <w:szCs w:val="24"/>
              </w:rPr>
              <w:t>44%)</w:t>
            </w:r>
          </w:p>
        </w:tc>
        <w:tc>
          <w:tcPr>
            <w:tcW w:w="1843" w:type="dxa"/>
            <w:tcBorders>
              <w:left w:val="single" w:sz="4" w:space="0" w:color="auto"/>
              <w:right w:val="single" w:sz="4" w:space="0" w:color="auto"/>
            </w:tcBorders>
          </w:tcPr>
          <w:p w:rsidR="0017417D" w:rsidRPr="001D58F2" w:rsidRDefault="008B6D50" w:rsidP="004D272A">
            <w:pPr>
              <w:cnfStyle w:val="000000100000"/>
              <w:rPr>
                <w:rFonts w:ascii="Arial" w:hAnsi="Arial" w:cs="Arial"/>
                <w:sz w:val="24"/>
                <w:szCs w:val="24"/>
              </w:rPr>
            </w:pPr>
            <w:r>
              <w:rPr>
                <w:rFonts w:ascii="Arial" w:hAnsi="Arial" w:cs="Arial"/>
                <w:sz w:val="24"/>
                <w:szCs w:val="24"/>
              </w:rPr>
              <w:t>17 (21,</w:t>
            </w:r>
            <w:r w:rsidR="0017417D">
              <w:rPr>
                <w:rFonts w:ascii="Arial" w:hAnsi="Arial" w:cs="Arial"/>
                <w:sz w:val="24"/>
                <w:szCs w:val="24"/>
              </w:rPr>
              <w:t>52%)</w:t>
            </w:r>
          </w:p>
        </w:tc>
        <w:tc>
          <w:tcPr>
            <w:tcW w:w="1843" w:type="dxa"/>
            <w:tcBorders>
              <w:left w:val="single" w:sz="4" w:space="0" w:color="auto"/>
              <w:right w:val="single" w:sz="4" w:space="0" w:color="auto"/>
            </w:tcBorders>
          </w:tcPr>
          <w:p w:rsidR="0017417D" w:rsidRPr="001D58F2" w:rsidRDefault="008B6D50" w:rsidP="004D272A">
            <w:pPr>
              <w:cnfStyle w:val="000000100000"/>
              <w:rPr>
                <w:rFonts w:ascii="Arial" w:hAnsi="Arial" w:cs="Arial"/>
                <w:sz w:val="24"/>
                <w:szCs w:val="24"/>
              </w:rPr>
            </w:pPr>
            <w:r>
              <w:rPr>
                <w:rFonts w:ascii="Arial" w:hAnsi="Arial" w:cs="Arial"/>
                <w:sz w:val="24"/>
                <w:szCs w:val="24"/>
              </w:rPr>
              <w:t>57 (71,</w:t>
            </w:r>
            <w:r w:rsidR="0017417D">
              <w:rPr>
                <w:rFonts w:ascii="Arial" w:hAnsi="Arial" w:cs="Arial"/>
                <w:sz w:val="24"/>
                <w:szCs w:val="24"/>
              </w:rPr>
              <w:t>25%)</w:t>
            </w:r>
          </w:p>
        </w:tc>
        <w:tc>
          <w:tcPr>
            <w:tcW w:w="992" w:type="dxa"/>
            <w:tcBorders>
              <w:left w:val="single" w:sz="4" w:space="0" w:color="auto"/>
            </w:tcBorders>
          </w:tcPr>
          <w:p w:rsidR="0017417D" w:rsidRPr="008B6D50" w:rsidRDefault="0017417D" w:rsidP="008B6D50">
            <w:pPr>
              <w:cnfStyle w:val="000000100000"/>
              <w:rPr>
                <w:rFonts w:ascii="Arial" w:hAnsi="Arial" w:cs="Arial"/>
                <w:b/>
                <w:sz w:val="24"/>
                <w:szCs w:val="24"/>
                <w:vertAlign w:val="superscript"/>
              </w:rPr>
            </w:pPr>
            <w:r w:rsidRPr="008B6D50">
              <w:rPr>
                <w:rFonts w:ascii="Arial" w:hAnsi="Arial" w:cs="Arial"/>
                <w:b/>
                <w:sz w:val="24"/>
                <w:szCs w:val="24"/>
              </w:rPr>
              <w:t>0,0</w:t>
            </w:r>
            <w:r w:rsidR="008B6D50" w:rsidRPr="008B6D50">
              <w:rPr>
                <w:rFonts w:ascii="Arial" w:hAnsi="Arial" w:cs="Arial"/>
                <w:b/>
                <w:sz w:val="24"/>
                <w:szCs w:val="24"/>
              </w:rPr>
              <w:t>46</w:t>
            </w:r>
            <w:r w:rsidRPr="008B6D50">
              <w:rPr>
                <w:rFonts w:ascii="Arial" w:hAnsi="Arial" w:cs="Arial"/>
                <w:b/>
                <w:sz w:val="24"/>
                <w:szCs w:val="24"/>
                <w:vertAlign w:val="superscript"/>
              </w:rPr>
              <w:t>c</w:t>
            </w:r>
          </w:p>
        </w:tc>
      </w:tr>
      <w:tr w:rsidR="0017417D" w:rsidRPr="005A1F10" w:rsidTr="002324A1">
        <w:trPr>
          <w:trHeight w:val="336"/>
        </w:trPr>
        <w:tc>
          <w:tcPr>
            <w:cnfStyle w:val="001000000000"/>
            <w:tcW w:w="3227" w:type="dxa"/>
            <w:tcBorders>
              <w:right w:val="single" w:sz="4" w:space="0" w:color="auto"/>
            </w:tcBorders>
          </w:tcPr>
          <w:p w:rsidR="0017417D" w:rsidRPr="00BF6101" w:rsidRDefault="0017417D" w:rsidP="004D272A">
            <w:pPr>
              <w:rPr>
                <w:rFonts w:ascii="Arial" w:hAnsi="Arial" w:cs="Arial"/>
                <w:sz w:val="24"/>
                <w:szCs w:val="24"/>
              </w:rPr>
            </w:pPr>
            <w:r w:rsidRPr="00BF6101">
              <w:rPr>
                <w:rFonts w:ascii="Arial" w:hAnsi="Arial" w:cs="Arial"/>
                <w:sz w:val="24"/>
                <w:szCs w:val="24"/>
              </w:rPr>
              <w:t xml:space="preserve">Modalidad de tratamiento </w:t>
            </w:r>
          </w:p>
        </w:tc>
        <w:tc>
          <w:tcPr>
            <w:tcW w:w="1843" w:type="dxa"/>
            <w:tcBorders>
              <w:left w:val="single" w:sz="4" w:space="0" w:color="auto"/>
              <w:right w:val="single" w:sz="4" w:space="0" w:color="auto"/>
            </w:tcBorders>
          </w:tcPr>
          <w:p w:rsidR="0017417D" w:rsidRPr="001D58F2" w:rsidRDefault="0017417D" w:rsidP="004D272A">
            <w:pPr>
              <w:cnfStyle w:val="000000000000"/>
              <w:rPr>
                <w:rFonts w:ascii="Arial" w:hAnsi="Arial" w:cs="Arial"/>
                <w:b/>
                <w:sz w:val="24"/>
                <w:szCs w:val="24"/>
              </w:rPr>
            </w:pPr>
          </w:p>
        </w:tc>
        <w:tc>
          <w:tcPr>
            <w:tcW w:w="1842" w:type="dxa"/>
            <w:tcBorders>
              <w:left w:val="single" w:sz="4" w:space="0" w:color="auto"/>
              <w:right w:val="single" w:sz="4" w:space="0" w:color="auto"/>
            </w:tcBorders>
          </w:tcPr>
          <w:p w:rsidR="0017417D" w:rsidRPr="001D58F2" w:rsidRDefault="0017417D" w:rsidP="004D272A">
            <w:pPr>
              <w:cnfStyle w:val="000000000000"/>
              <w:rPr>
                <w:rFonts w:ascii="Arial" w:hAnsi="Arial" w:cs="Arial"/>
                <w:b/>
                <w:sz w:val="24"/>
                <w:szCs w:val="24"/>
              </w:rPr>
            </w:pPr>
          </w:p>
        </w:tc>
        <w:tc>
          <w:tcPr>
            <w:tcW w:w="1843" w:type="dxa"/>
            <w:tcBorders>
              <w:left w:val="single" w:sz="4" w:space="0" w:color="auto"/>
              <w:right w:val="single" w:sz="4" w:space="0" w:color="auto"/>
            </w:tcBorders>
          </w:tcPr>
          <w:p w:rsidR="0017417D" w:rsidRPr="001D58F2" w:rsidRDefault="0017417D" w:rsidP="004D272A">
            <w:pPr>
              <w:cnfStyle w:val="000000000000"/>
              <w:rPr>
                <w:rFonts w:ascii="Arial" w:hAnsi="Arial" w:cs="Arial"/>
                <w:b/>
                <w:sz w:val="24"/>
                <w:szCs w:val="24"/>
              </w:rPr>
            </w:pPr>
          </w:p>
        </w:tc>
        <w:tc>
          <w:tcPr>
            <w:tcW w:w="1843" w:type="dxa"/>
            <w:tcBorders>
              <w:left w:val="single" w:sz="4" w:space="0" w:color="auto"/>
              <w:right w:val="single" w:sz="4" w:space="0" w:color="auto"/>
            </w:tcBorders>
          </w:tcPr>
          <w:p w:rsidR="0017417D" w:rsidRPr="001D58F2" w:rsidRDefault="0017417D" w:rsidP="004D272A">
            <w:pPr>
              <w:cnfStyle w:val="000000000000"/>
              <w:rPr>
                <w:rFonts w:ascii="Arial" w:hAnsi="Arial" w:cs="Arial"/>
                <w:b/>
                <w:sz w:val="24"/>
                <w:szCs w:val="24"/>
              </w:rPr>
            </w:pPr>
          </w:p>
        </w:tc>
        <w:tc>
          <w:tcPr>
            <w:tcW w:w="992" w:type="dxa"/>
            <w:tcBorders>
              <w:left w:val="single" w:sz="4" w:space="0" w:color="auto"/>
            </w:tcBorders>
          </w:tcPr>
          <w:p w:rsidR="0017417D" w:rsidRPr="005A1F10" w:rsidRDefault="0017417D" w:rsidP="004D272A">
            <w:pPr>
              <w:cnfStyle w:val="000000000000"/>
              <w:rPr>
                <w:rFonts w:ascii="Arial" w:hAnsi="Arial" w:cs="Arial"/>
                <w:b/>
                <w:sz w:val="24"/>
                <w:szCs w:val="24"/>
              </w:rPr>
            </w:pPr>
          </w:p>
        </w:tc>
      </w:tr>
      <w:tr w:rsidR="0017417D" w:rsidRPr="005A1F10" w:rsidTr="002324A1">
        <w:trPr>
          <w:cnfStyle w:val="000000100000"/>
          <w:trHeight w:val="336"/>
        </w:trPr>
        <w:tc>
          <w:tcPr>
            <w:cnfStyle w:val="001000000000"/>
            <w:tcW w:w="3227" w:type="dxa"/>
            <w:tcBorders>
              <w:right w:val="single" w:sz="4" w:space="0" w:color="auto"/>
            </w:tcBorders>
          </w:tcPr>
          <w:p w:rsidR="0017417D" w:rsidRPr="00BF6101" w:rsidRDefault="0017417D" w:rsidP="004D272A">
            <w:pPr>
              <w:rPr>
                <w:rFonts w:ascii="Arial" w:hAnsi="Arial" w:cs="Arial"/>
                <w:b w:val="0"/>
                <w:sz w:val="24"/>
                <w:szCs w:val="24"/>
              </w:rPr>
            </w:pPr>
            <w:r w:rsidRPr="00BF6101">
              <w:rPr>
                <w:rFonts w:ascii="Arial" w:hAnsi="Arial" w:cs="Arial"/>
                <w:b w:val="0"/>
                <w:sz w:val="24"/>
                <w:szCs w:val="24"/>
              </w:rPr>
              <w:t>Conservador</w:t>
            </w:r>
          </w:p>
        </w:tc>
        <w:tc>
          <w:tcPr>
            <w:tcW w:w="1843" w:type="dxa"/>
            <w:tcBorders>
              <w:left w:val="single" w:sz="4" w:space="0" w:color="auto"/>
              <w:right w:val="single" w:sz="4" w:space="0" w:color="auto"/>
            </w:tcBorders>
          </w:tcPr>
          <w:p w:rsidR="0017417D" w:rsidRPr="001D58F2" w:rsidRDefault="0017417D" w:rsidP="008B6D50">
            <w:pPr>
              <w:cnfStyle w:val="000000100000"/>
              <w:rPr>
                <w:rFonts w:ascii="Arial" w:hAnsi="Arial" w:cs="Arial"/>
                <w:sz w:val="24"/>
                <w:szCs w:val="24"/>
              </w:rPr>
            </w:pPr>
            <w:r>
              <w:rPr>
                <w:rFonts w:ascii="Arial" w:hAnsi="Arial" w:cs="Arial"/>
                <w:sz w:val="24"/>
                <w:szCs w:val="24"/>
              </w:rPr>
              <w:t>14</w:t>
            </w:r>
            <w:r w:rsidR="008B6D50">
              <w:rPr>
                <w:rFonts w:ascii="Arial" w:hAnsi="Arial" w:cs="Arial"/>
                <w:sz w:val="24"/>
                <w:szCs w:val="24"/>
              </w:rPr>
              <w:t>5 (60,92</w:t>
            </w:r>
            <w:r>
              <w:rPr>
                <w:rFonts w:ascii="Arial" w:hAnsi="Arial" w:cs="Arial"/>
                <w:sz w:val="24"/>
                <w:szCs w:val="24"/>
              </w:rPr>
              <w:t>%)</w:t>
            </w:r>
          </w:p>
        </w:tc>
        <w:tc>
          <w:tcPr>
            <w:tcW w:w="1842" w:type="dxa"/>
            <w:tcBorders>
              <w:left w:val="single" w:sz="4" w:space="0" w:color="auto"/>
              <w:right w:val="single" w:sz="4" w:space="0" w:color="auto"/>
            </w:tcBorders>
          </w:tcPr>
          <w:p w:rsidR="0017417D" w:rsidRPr="001D58F2" w:rsidRDefault="008B6D50" w:rsidP="004D272A">
            <w:pPr>
              <w:cnfStyle w:val="000000100000"/>
              <w:rPr>
                <w:rFonts w:ascii="Arial" w:hAnsi="Arial" w:cs="Arial"/>
                <w:sz w:val="24"/>
                <w:szCs w:val="24"/>
              </w:rPr>
            </w:pPr>
            <w:r>
              <w:rPr>
                <w:rFonts w:ascii="Arial" w:hAnsi="Arial" w:cs="Arial"/>
                <w:sz w:val="24"/>
                <w:szCs w:val="24"/>
              </w:rPr>
              <w:t>56 (70,</w:t>
            </w:r>
            <w:r w:rsidR="0017417D">
              <w:rPr>
                <w:rFonts w:ascii="Arial" w:hAnsi="Arial" w:cs="Arial"/>
                <w:sz w:val="24"/>
                <w:szCs w:val="24"/>
              </w:rPr>
              <w:t>89%)</w:t>
            </w:r>
          </w:p>
        </w:tc>
        <w:tc>
          <w:tcPr>
            <w:tcW w:w="1843" w:type="dxa"/>
            <w:tcBorders>
              <w:left w:val="single" w:sz="4" w:space="0" w:color="auto"/>
              <w:right w:val="single" w:sz="4" w:space="0" w:color="auto"/>
            </w:tcBorders>
          </w:tcPr>
          <w:p w:rsidR="0017417D" w:rsidRPr="001D58F2" w:rsidRDefault="008B6D50" w:rsidP="004D272A">
            <w:pPr>
              <w:cnfStyle w:val="000000100000"/>
              <w:rPr>
                <w:rFonts w:ascii="Arial" w:hAnsi="Arial" w:cs="Arial"/>
                <w:sz w:val="24"/>
                <w:szCs w:val="24"/>
              </w:rPr>
            </w:pPr>
            <w:r>
              <w:rPr>
                <w:rFonts w:ascii="Arial" w:hAnsi="Arial" w:cs="Arial"/>
                <w:sz w:val="24"/>
                <w:szCs w:val="24"/>
              </w:rPr>
              <w:t>47 (59,</w:t>
            </w:r>
            <w:r w:rsidR="0017417D">
              <w:rPr>
                <w:rFonts w:ascii="Arial" w:hAnsi="Arial" w:cs="Arial"/>
                <w:sz w:val="24"/>
                <w:szCs w:val="24"/>
              </w:rPr>
              <w:t>49%)</w:t>
            </w:r>
          </w:p>
        </w:tc>
        <w:tc>
          <w:tcPr>
            <w:tcW w:w="1843" w:type="dxa"/>
            <w:tcBorders>
              <w:left w:val="single" w:sz="4" w:space="0" w:color="auto"/>
              <w:right w:val="single" w:sz="4" w:space="0" w:color="auto"/>
            </w:tcBorders>
          </w:tcPr>
          <w:p w:rsidR="0017417D" w:rsidRPr="001D58F2" w:rsidRDefault="008B6D50" w:rsidP="004D272A">
            <w:pPr>
              <w:cnfStyle w:val="000000100000"/>
              <w:rPr>
                <w:rFonts w:ascii="Arial" w:hAnsi="Arial" w:cs="Arial"/>
                <w:sz w:val="24"/>
                <w:szCs w:val="24"/>
              </w:rPr>
            </w:pPr>
            <w:r>
              <w:rPr>
                <w:rFonts w:ascii="Arial" w:hAnsi="Arial" w:cs="Arial"/>
                <w:sz w:val="24"/>
                <w:szCs w:val="24"/>
              </w:rPr>
              <w:t>42 (52,</w:t>
            </w:r>
            <w:r w:rsidR="0017417D">
              <w:rPr>
                <w:rFonts w:ascii="Arial" w:hAnsi="Arial" w:cs="Arial"/>
                <w:sz w:val="24"/>
                <w:szCs w:val="24"/>
              </w:rPr>
              <w:t>50%)</w:t>
            </w:r>
          </w:p>
        </w:tc>
        <w:tc>
          <w:tcPr>
            <w:tcW w:w="992" w:type="dxa"/>
            <w:tcBorders>
              <w:left w:val="single" w:sz="4" w:space="0" w:color="auto"/>
            </w:tcBorders>
          </w:tcPr>
          <w:p w:rsidR="0017417D" w:rsidRPr="005A1F10" w:rsidRDefault="0017417D" w:rsidP="004D272A">
            <w:pPr>
              <w:cnfStyle w:val="000000100000"/>
              <w:rPr>
                <w:rFonts w:ascii="Arial" w:hAnsi="Arial" w:cs="Arial"/>
                <w:sz w:val="24"/>
                <w:szCs w:val="24"/>
              </w:rPr>
            </w:pPr>
            <w:r>
              <w:rPr>
                <w:rFonts w:ascii="Arial" w:hAnsi="Arial" w:cs="Arial"/>
                <w:sz w:val="24"/>
                <w:szCs w:val="24"/>
              </w:rPr>
              <w:t>0,690</w:t>
            </w:r>
          </w:p>
        </w:tc>
      </w:tr>
      <w:tr w:rsidR="0017417D" w:rsidRPr="005A1F10" w:rsidTr="002324A1">
        <w:trPr>
          <w:trHeight w:val="336"/>
        </w:trPr>
        <w:tc>
          <w:tcPr>
            <w:cnfStyle w:val="001000000000"/>
            <w:tcW w:w="3227" w:type="dxa"/>
            <w:tcBorders>
              <w:right w:val="single" w:sz="4" w:space="0" w:color="auto"/>
            </w:tcBorders>
          </w:tcPr>
          <w:p w:rsidR="0017417D" w:rsidRPr="00BF6101" w:rsidRDefault="0017417D" w:rsidP="004D272A">
            <w:pPr>
              <w:rPr>
                <w:rFonts w:ascii="Arial" w:hAnsi="Arial" w:cs="Arial"/>
                <w:b w:val="0"/>
                <w:sz w:val="24"/>
                <w:szCs w:val="24"/>
              </w:rPr>
            </w:pPr>
            <w:r w:rsidRPr="00BF6101">
              <w:rPr>
                <w:rFonts w:ascii="Arial" w:hAnsi="Arial" w:cs="Arial"/>
                <w:b w:val="0"/>
                <w:sz w:val="24"/>
                <w:szCs w:val="24"/>
              </w:rPr>
              <w:t>Hemodiálisis</w:t>
            </w:r>
          </w:p>
        </w:tc>
        <w:tc>
          <w:tcPr>
            <w:tcW w:w="1843" w:type="dxa"/>
            <w:tcBorders>
              <w:left w:val="single" w:sz="4" w:space="0" w:color="auto"/>
              <w:right w:val="single" w:sz="4" w:space="0" w:color="auto"/>
            </w:tcBorders>
          </w:tcPr>
          <w:p w:rsidR="0017417D" w:rsidRPr="001D58F2" w:rsidRDefault="0017417D" w:rsidP="008B6D50">
            <w:pPr>
              <w:cnfStyle w:val="000000000000"/>
              <w:rPr>
                <w:rFonts w:ascii="Arial" w:hAnsi="Arial" w:cs="Arial"/>
                <w:sz w:val="24"/>
                <w:szCs w:val="24"/>
              </w:rPr>
            </w:pPr>
            <w:r>
              <w:rPr>
                <w:rFonts w:ascii="Arial" w:hAnsi="Arial" w:cs="Arial"/>
                <w:sz w:val="24"/>
                <w:szCs w:val="24"/>
              </w:rPr>
              <w:t>9</w:t>
            </w:r>
            <w:r w:rsidR="008B6D50">
              <w:rPr>
                <w:rFonts w:ascii="Arial" w:hAnsi="Arial" w:cs="Arial"/>
                <w:sz w:val="24"/>
                <w:szCs w:val="24"/>
              </w:rPr>
              <w:t>3 (39,08</w:t>
            </w:r>
            <w:r>
              <w:rPr>
                <w:rFonts w:ascii="Arial" w:hAnsi="Arial" w:cs="Arial"/>
                <w:sz w:val="24"/>
                <w:szCs w:val="24"/>
              </w:rPr>
              <w:t>%)</w:t>
            </w:r>
          </w:p>
        </w:tc>
        <w:tc>
          <w:tcPr>
            <w:tcW w:w="1842" w:type="dxa"/>
            <w:tcBorders>
              <w:left w:val="single" w:sz="4" w:space="0" w:color="auto"/>
              <w:right w:val="single" w:sz="4" w:space="0" w:color="auto"/>
            </w:tcBorders>
          </w:tcPr>
          <w:p w:rsidR="0017417D" w:rsidRPr="001D58F2" w:rsidRDefault="008B6D50" w:rsidP="004D272A">
            <w:pPr>
              <w:cnfStyle w:val="000000000000"/>
              <w:rPr>
                <w:rFonts w:ascii="Arial" w:hAnsi="Arial" w:cs="Arial"/>
                <w:sz w:val="24"/>
                <w:szCs w:val="24"/>
              </w:rPr>
            </w:pPr>
            <w:r>
              <w:rPr>
                <w:rFonts w:ascii="Arial" w:hAnsi="Arial" w:cs="Arial"/>
                <w:sz w:val="24"/>
                <w:szCs w:val="24"/>
              </w:rPr>
              <w:t>23 (29,</w:t>
            </w:r>
            <w:r w:rsidR="0017417D">
              <w:rPr>
                <w:rFonts w:ascii="Arial" w:hAnsi="Arial" w:cs="Arial"/>
                <w:sz w:val="24"/>
                <w:szCs w:val="24"/>
              </w:rPr>
              <w:t>11%)</w:t>
            </w:r>
          </w:p>
        </w:tc>
        <w:tc>
          <w:tcPr>
            <w:tcW w:w="1843" w:type="dxa"/>
            <w:tcBorders>
              <w:left w:val="single" w:sz="4" w:space="0" w:color="auto"/>
              <w:right w:val="single" w:sz="4" w:space="0" w:color="auto"/>
            </w:tcBorders>
          </w:tcPr>
          <w:p w:rsidR="0017417D" w:rsidRPr="001D58F2" w:rsidRDefault="008B6D50" w:rsidP="004D272A">
            <w:pPr>
              <w:cnfStyle w:val="000000000000"/>
              <w:rPr>
                <w:rFonts w:ascii="Arial" w:hAnsi="Arial" w:cs="Arial"/>
                <w:sz w:val="24"/>
                <w:szCs w:val="24"/>
              </w:rPr>
            </w:pPr>
            <w:r>
              <w:rPr>
                <w:rFonts w:ascii="Arial" w:hAnsi="Arial" w:cs="Arial"/>
                <w:sz w:val="24"/>
                <w:szCs w:val="24"/>
              </w:rPr>
              <w:t>32 (40,</w:t>
            </w:r>
            <w:r w:rsidR="0017417D">
              <w:rPr>
                <w:rFonts w:ascii="Arial" w:hAnsi="Arial" w:cs="Arial"/>
                <w:sz w:val="24"/>
                <w:szCs w:val="24"/>
              </w:rPr>
              <w:t>51%)</w:t>
            </w:r>
          </w:p>
        </w:tc>
        <w:tc>
          <w:tcPr>
            <w:tcW w:w="1843" w:type="dxa"/>
            <w:tcBorders>
              <w:left w:val="single" w:sz="4" w:space="0" w:color="auto"/>
              <w:right w:val="single" w:sz="4" w:space="0" w:color="auto"/>
            </w:tcBorders>
          </w:tcPr>
          <w:p w:rsidR="0017417D" w:rsidRPr="001D58F2" w:rsidRDefault="008B6D50" w:rsidP="004D272A">
            <w:pPr>
              <w:cnfStyle w:val="000000000000"/>
              <w:rPr>
                <w:rFonts w:ascii="Arial" w:hAnsi="Arial" w:cs="Arial"/>
                <w:sz w:val="24"/>
                <w:szCs w:val="24"/>
              </w:rPr>
            </w:pPr>
            <w:r>
              <w:rPr>
                <w:rFonts w:ascii="Arial" w:hAnsi="Arial" w:cs="Arial"/>
                <w:sz w:val="24"/>
                <w:szCs w:val="24"/>
              </w:rPr>
              <w:t>38 (47,</w:t>
            </w:r>
            <w:r w:rsidR="0017417D">
              <w:rPr>
                <w:rFonts w:ascii="Arial" w:hAnsi="Arial" w:cs="Arial"/>
                <w:sz w:val="24"/>
                <w:szCs w:val="24"/>
              </w:rPr>
              <w:t>50%)</w:t>
            </w:r>
          </w:p>
        </w:tc>
        <w:tc>
          <w:tcPr>
            <w:tcW w:w="992" w:type="dxa"/>
            <w:tcBorders>
              <w:left w:val="single" w:sz="4" w:space="0" w:color="auto"/>
            </w:tcBorders>
          </w:tcPr>
          <w:p w:rsidR="0017417D" w:rsidRPr="005A1F10" w:rsidRDefault="0017417D" w:rsidP="004D272A">
            <w:pPr>
              <w:cnfStyle w:val="000000000000"/>
              <w:rPr>
                <w:rFonts w:ascii="Arial" w:hAnsi="Arial" w:cs="Arial"/>
                <w:sz w:val="24"/>
                <w:szCs w:val="24"/>
              </w:rPr>
            </w:pPr>
            <w:r>
              <w:rPr>
                <w:rFonts w:ascii="Arial" w:hAnsi="Arial" w:cs="Arial"/>
                <w:sz w:val="24"/>
                <w:szCs w:val="24"/>
              </w:rPr>
              <w:t>0,605</w:t>
            </w:r>
          </w:p>
        </w:tc>
      </w:tr>
      <w:tr w:rsidR="0017417D" w:rsidTr="002324A1">
        <w:trPr>
          <w:cnfStyle w:val="000000100000"/>
          <w:trHeight w:val="753"/>
        </w:trPr>
        <w:tc>
          <w:tcPr>
            <w:cnfStyle w:val="001000000000"/>
            <w:tcW w:w="11590" w:type="dxa"/>
            <w:gridSpan w:val="6"/>
          </w:tcPr>
          <w:p w:rsidR="0017417D" w:rsidRDefault="0017417D" w:rsidP="008C1E2E">
            <w:pPr>
              <w:jc w:val="both"/>
              <w:rPr>
                <w:rFonts w:ascii="Arial" w:hAnsi="Arial" w:cs="Arial"/>
                <w:sz w:val="24"/>
                <w:szCs w:val="24"/>
              </w:rPr>
            </w:pPr>
            <w:r w:rsidRPr="001D58F2">
              <w:rPr>
                <w:rFonts w:ascii="Arial" w:hAnsi="Arial" w:cs="Arial"/>
                <w:sz w:val="24"/>
                <w:szCs w:val="24"/>
              </w:rPr>
              <w:t xml:space="preserve">Fuente: </w:t>
            </w:r>
            <w:r w:rsidR="008C1E2E" w:rsidRPr="002B7118">
              <w:rPr>
                <w:rFonts w:ascii="Arial" w:hAnsi="Arial" w:cs="Arial"/>
                <w:b w:val="0"/>
                <w:sz w:val="24"/>
                <w:szCs w:val="24"/>
              </w:rPr>
              <w:t>Historias clínicas y planilla de recolección</w:t>
            </w:r>
            <w:r w:rsidRPr="002B7118">
              <w:rPr>
                <w:rFonts w:ascii="Arial" w:hAnsi="Arial" w:cs="Arial"/>
                <w:b w:val="0"/>
                <w:sz w:val="24"/>
                <w:szCs w:val="24"/>
              </w:rPr>
              <w:t xml:space="preserve">  </w:t>
            </w:r>
            <w:r w:rsidRPr="002B7118">
              <w:rPr>
                <w:rFonts w:ascii="Arial" w:hAnsi="Arial" w:cs="Arial"/>
                <w:b w:val="0"/>
                <w:sz w:val="24"/>
                <w:szCs w:val="24"/>
                <w:vertAlign w:val="superscript"/>
              </w:rPr>
              <w:t>a</w:t>
            </w:r>
            <w:r w:rsidRPr="002B7118">
              <w:rPr>
                <w:rFonts w:ascii="Arial" w:hAnsi="Arial" w:cs="Arial"/>
                <w:b w:val="0"/>
                <w:sz w:val="24"/>
                <w:szCs w:val="24"/>
              </w:rPr>
              <w:t xml:space="preserve"> Resultado expresado como media ± DE</w:t>
            </w:r>
            <w:r w:rsidR="008C1E2E" w:rsidRPr="002B7118">
              <w:rPr>
                <w:rFonts w:ascii="Arial" w:hAnsi="Arial" w:cs="Arial"/>
                <w:b w:val="0"/>
                <w:sz w:val="24"/>
                <w:szCs w:val="24"/>
              </w:rPr>
              <w:t xml:space="preserve"> </w:t>
            </w:r>
            <w:r w:rsidRPr="002B7118">
              <w:rPr>
                <w:rFonts w:ascii="Arial" w:hAnsi="Arial" w:cs="Arial"/>
                <w:b w:val="0"/>
                <w:sz w:val="24"/>
                <w:szCs w:val="24"/>
              </w:rPr>
              <w:t xml:space="preserve"> </w:t>
            </w:r>
            <w:r w:rsidR="008C1E2E" w:rsidRPr="002B7118">
              <w:rPr>
                <w:rFonts w:ascii="Arial" w:hAnsi="Arial" w:cs="Arial"/>
                <w:b w:val="0"/>
                <w:sz w:val="24"/>
                <w:szCs w:val="24"/>
              </w:rPr>
              <w:t xml:space="preserve">            </w:t>
            </w:r>
            <w:r w:rsidRPr="002B7118">
              <w:rPr>
                <w:rFonts w:ascii="Arial" w:hAnsi="Arial" w:cs="Arial"/>
                <w:b w:val="0"/>
                <w:sz w:val="24"/>
                <w:szCs w:val="24"/>
                <w:vertAlign w:val="superscript"/>
              </w:rPr>
              <w:t>b</w:t>
            </w:r>
            <w:r w:rsidRPr="002B7118">
              <w:rPr>
                <w:rFonts w:ascii="Arial" w:hAnsi="Arial" w:cs="Arial"/>
                <w:b w:val="0"/>
                <w:sz w:val="24"/>
                <w:szCs w:val="24"/>
              </w:rPr>
              <w:t xml:space="preserve"> Resultado expresado como mediana y rango intercuartílico   </w:t>
            </w:r>
            <w:r w:rsidRPr="002B7118">
              <w:rPr>
                <w:rFonts w:ascii="Arial" w:hAnsi="Arial" w:cs="Arial"/>
                <w:b w:val="0"/>
                <w:sz w:val="24"/>
                <w:szCs w:val="24"/>
                <w:vertAlign w:val="superscript"/>
              </w:rPr>
              <w:t>c</w:t>
            </w:r>
            <w:r w:rsidRPr="002B7118">
              <w:rPr>
                <w:rFonts w:ascii="Arial" w:hAnsi="Arial" w:cs="Arial"/>
                <w:b w:val="0"/>
                <w:sz w:val="24"/>
                <w:szCs w:val="24"/>
              </w:rPr>
              <w:t xml:space="preserve"> Estadísticamente significativo</w:t>
            </w:r>
          </w:p>
        </w:tc>
      </w:tr>
    </w:tbl>
    <w:p w:rsidR="002324A1" w:rsidRDefault="002324A1" w:rsidP="00341A36">
      <w:pPr>
        <w:spacing w:line="360" w:lineRule="auto"/>
        <w:jc w:val="both"/>
        <w:rPr>
          <w:rFonts w:ascii="Arial" w:hAnsi="Arial" w:cs="Arial"/>
          <w:sz w:val="24"/>
          <w:szCs w:val="24"/>
        </w:rPr>
      </w:pPr>
    </w:p>
    <w:p w:rsidR="00A95C5D" w:rsidRDefault="000B1C68" w:rsidP="00302907">
      <w:pPr>
        <w:spacing w:line="360" w:lineRule="auto"/>
        <w:jc w:val="both"/>
        <w:rPr>
          <w:rFonts w:ascii="Arial" w:hAnsi="Arial" w:cs="Arial"/>
          <w:sz w:val="24"/>
          <w:szCs w:val="24"/>
        </w:rPr>
      </w:pPr>
      <w:r>
        <w:rPr>
          <w:rFonts w:ascii="Arial" w:hAnsi="Arial" w:cs="Arial"/>
          <w:sz w:val="24"/>
          <w:szCs w:val="24"/>
        </w:rPr>
        <w:t xml:space="preserve">Se analizaron 238 pacientes consecutivos, la mediana de edad global fue de 55 años (RI: 43-79), la mediana de edad fue significativamente mayor a medida que </w:t>
      </w:r>
      <w:r>
        <w:rPr>
          <w:rFonts w:ascii="Arial" w:hAnsi="Arial" w:cs="Arial"/>
          <w:sz w:val="24"/>
          <w:szCs w:val="24"/>
        </w:rPr>
        <w:lastRenderedPageBreak/>
        <w:t xml:space="preserve">aumentaba el cociente urea/creatinina; predominó el sexo masculino (53,36%). En cuanto a los antecedentes patológicos personales, el 44,54% eran hipertensos y el 20,59% estaba diagnosticado con enfermedad renal crónica previa; el 24,31% fumaba y el 32,77% eran diabéticos. </w:t>
      </w:r>
    </w:p>
    <w:p w:rsidR="000B1C68" w:rsidRPr="00A0598E" w:rsidRDefault="000B1C68" w:rsidP="00302907">
      <w:pPr>
        <w:spacing w:line="360" w:lineRule="auto"/>
        <w:jc w:val="both"/>
        <w:rPr>
          <w:rFonts w:ascii="Arial" w:hAnsi="Arial" w:cs="Arial"/>
          <w:sz w:val="24"/>
          <w:szCs w:val="24"/>
        </w:rPr>
      </w:pPr>
      <w:r>
        <w:rPr>
          <w:rFonts w:ascii="Arial" w:hAnsi="Arial" w:cs="Arial"/>
          <w:sz w:val="24"/>
          <w:szCs w:val="24"/>
        </w:rPr>
        <w:t xml:space="preserve">En relación con las variables clínicas y de laboratorio al ingreso según tertiles, no existieron diferencias significativas entre la tensión arterial sistólica y diastólica, la hipoalbuminemia, </w:t>
      </w:r>
      <w:r w:rsidR="00A0598E">
        <w:rPr>
          <w:rFonts w:ascii="Arial" w:hAnsi="Arial" w:cs="Arial"/>
          <w:sz w:val="24"/>
          <w:szCs w:val="24"/>
        </w:rPr>
        <w:t>el BUN y la creatinina; sin embargo, el filtrado glomerular menor a 60 ml/min/1.73m</w:t>
      </w:r>
      <w:r w:rsidR="00A0598E">
        <w:rPr>
          <w:rFonts w:ascii="Arial" w:hAnsi="Arial" w:cs="Arial"/>
          <w:sz w:val="24"/>
          <w:szCs w:val="24"/>
          <w:vertAlign w:val="superscript"/>
        </w:rPr>
        <w:t>2</w:t>
      </w:r>
      <w:r w:rsidR="00A0598E">
        <w:rPr>
          <w:rFonts w:ascii="Arial" w:hAnsi="Arial" w:cs="Arial"/>
          <w:sz w:val="24"/>
          <w:szCs w:val="24"/>
        </w:rPr>
        <w:t>, la acidemia metabólica, la hiperpotasemia y la oligoanuria si fueron variables que arrojaron diferencias estadísticamente significativas. No existieron diferencias entre los pacientes de los diferentes tertiles y la modalidad de tratamiento.</w:t>
      </w:r>
    </w:p>
    <w:p w:rsidR="00302907" w:rsidRDefault="00302907" w:rsidP="00302907">
      <w:pPr>
        <w:spacing w:line="360" w:lineRule="auto"/>
        <w:jc w:val="both"/>
        <w:rPr>
          <w:rFonts w:ascii="Arial" w:hAnsi="Arial" w:cs="Arial"/>
          <w:b/>
          <w:sz w:val="24"/>
          <w:szCs w:val="24"/>
        </w:rPr>
      </w:pPr>
      <w:r w:rsidRPr="00302907">
        <w:rPr>
          <w:rFonts w:ascii="Arial" w:hAnsi="Arial" w:cs="Arial"/>
          <w:b/>
          <w:sz w:val="24"/>
          <w:szCs w:val="24"/>
        </w:rPr>
        <w:t xml:space="preserve">Tabla 2. </w:t>
      </w:r>
      <w:r w:rsidRPr="002B7118">
        <w:rPr>
          <w:rFonts w:ascii="Arial" w:hAnsi="Arial" w:cs="Arial"/>
          <w:sz w:val="24"/>
          <w:szCs w:val="24"/>
        </w:rPr>
        <w:t>Distribución de los pacientes según supervivencia y tertiles de cociente urea/creatinina.</w:t>
      </w:r>
    </w:p>
    <w:tbl>
      <w:tblPr>
        <w:tblStyle w:val="Listaclara-nfasis5"/>
        <w:tblW w:w="8309" w:type="dxa"/>
        <w:tblLook w:val="04A0"/>
      </w:tblPr>
      <w:tblGrid>
        <w:gridCol w:w="3736"/>
        <w:gridCol w:w="4573"/>
      </w:tblGrid>
      <w:tr w:rsidR="00302907" w:rsidTr="004D272A">
        <w:trPr>
          <w:cnfStyle w:val="100000000000"/>
          <w:trHeight w:val="397"/>
        </w:trPr>
        <w:tc>
          <w:tcPr>
            <w:cnfStyle w:val="001000000000"/>
            <w:tcW w:w="3736" w:type="dxa"/>
            <w:vMerge w:val="restart"/>
          </w:tcPr>
          <w:p w:rsidR="00302907" w:rsidRPr="00763A64" w:rsidRDefault="00302907" w:rsidP="004D272A">
            <w:pPr>
              <w:rPr>
                <w:rFonts w:ascii="Arial" w:hAnsi="Arial" w:cs="Arial"/>
                <w:b w:val="0"/>
                <w:sz w:val="24"/>
                <w:szCs w:val="24"/>
              </w:rPr>
            </w:pPr>
            <w:r w:rsidRPr="00763A64">
              <w:rPr>
                <w:rFonts w:ascii="Arial" w:hAnsi="Arial" w:cs="Arial"/>
                <w:b w:val="0"/>
                <w:sz w:val="24"/>
                <w:szCs w:val="24"/>
              </w:rPr>
              <w:t>Grupos de estudio</w:t>
            </w:r>
          </w:p>
        </w:tc>
        <w:tc>
          <w:tcPr>
            <w:tcW w:w="4573" w:type="dxa"/>
            <w:tcBorders>
              <w:right w:val="single" w:sz="4" w:space="0" w:color="auto"/>
            </w:tcBorders>
          </w:tcPr>
          <w:p w:rsidR="00302907" w:rsidRPr="00763A64" w:rsidRDefault="00302907" w:rsidP="004D272A">
            <w:pPr>
              <w:cnfStyle w:val="100000000000"/>
              <w:rPr>
                <w:rFonts w:ascii="Arial" w:hAnsi="Arial" w:cs="Arial"/>
                <w:b w:val="0"/>
                <w:sz w:val="24"/>
                <w:szCs w:val="24"/>
              </w:rPr>
            </w:pPr>
            <w:r>
              <w:rPr>
                <w:rFonts w:ascii="Arial" w:hAnsi="Arial" w:cs="Arial"/>
                <w:b w:val="0"/>
                <w:sz w:val="24"/>
                <w:szCs w:val="24"/>
              </w:rPr>
              <w:t xml:space="preserve">                     </w:t>
            </w:r>
            <w:r w:rsidRPr="00763A64">
              <w:rPr>
                <w:rFonts w:ascii="Arial" w:hAnsi="Arial" w:cs="Arial"/>
                <w:b w:val="0"/>
                <w:sz w:val="24"/>
                <w:szCs w:val="24"/>
              </w:rPr>
              <w:t>Fallecido</w:t>
            </w:r>
          </w:p>
        </w:tc>
      </w:tr>
      <w:tr w:rsidR="00302907" w:rsidTr="004D272A">
        <w:trPr>
          <w:cnfStyle w:val="000000100000"/>
          <w:trHeight w:val="337"/>
        </w:trPr>
        <w:tc>
          <w:tcPr>
            <w:cnfStyle w:val="001000000000"/>
            <w:tcW w:w="3736" w:type="dxa"/>
            <w:vMerge/>
          </w:tcPr>
          <w:p w:rsidR="00302907" w:rsidRPr="00763A64" w:rsidRDefault="00302907" w:rsidP="004D272A">
            <w:pPr>
              <w:rPr>
                <w:rFonts w:ascii="Arial" w:hAnsi="Arial" w:cs="Arial"/>
                <w:b w:val="0"/>
                <w:sz w:val="24"/>
                <w:szCs w:val="24"/>
              </w:rPr>
            </w:pPr>
          </w:p>
        </w:tc>
        <w:tc>
          <w:tcPr>
            <w:tcW w:w="4573" w:type="dxa"/>
            <w:tcBorders>
              <w:right w:val="single" w:sz="4" w:space="0" w:color="auto"/>
            </w:tcBorders>
          </w:tcPr>
          <w:p w:rsidR="00302907" w:rsidRDefault="00302907" w:rsidP="004D272A">
            <w:pPr>
              <w:cnfStyle w:val="000000100000"/>
              <w:rPr>
                <w:rFonts w:ascii="Arial" w:hAnsi="Arial" w:cs="Arial"/>
                <w:b/>
                <w:sz w:val="24"/>
                <w:szCs w:val="24"/>
              </w:rPr>
            </w:pPr>
            <w:r>
              <w:rPr>
                <w:rFonts w:ascii="Arial" w:hAnsi="Arial" w:cs="Arial"/>
                <w:b/>
                <w:sz w:val="24"/>
                <w:szCs w:val="24"/>
              </w:rPr>
              <w:t xml:space="preserve">     </w:t>
            </w:r>
            <w:r w:rsidR="00906A00">
              <w:rPr>
                <w:rFonts w:ascii="Arial" w:hAnsi="Arial" w:cs="Arial"/>
                <w:b/>
                <w:sz w:val="24"/>
                <w:szCs w:val="24"/>
              </w:rPr>
              <w:t xml:space="preserve"> </w:t>
            </w:r>
            <w:r>
              <w:rPr>
                <w:rFonts w:ascii="Arial" w:hAnsi="Arial" w:cs="Arial"/>
                <w:b/>
                <w:sz w:val="24"/>
                <w:szCs w:val="24"/>
              </w:rPr>
              <w:t xml:space="preserve"> No                                 Sí</w:t>
            </w:r>
          </w:p>
        </w:tc>
      </w:tr>
      <w:tr w:rsidR="00302907" w:rsidTr="004D272A">
        <w:trPr>
          <w:trHeight w:val="344"/>
        </w:trPr>
        <w:tc>
          <w:tcPr>
            <w:cnfStyle w:val="001000000000"/>
            <w:tcW w:w="3736" w:type="dxa"/>
          </w:tcPr>
          <w:p w:rsidR="00302907" w:rsidRPr="005F7310" w:rsidRDefault="00302907" w:rsidP="004D272A">
            <w:pPr>
              <w:rPr>
                <w:rFonts w:ascii="Arial" w:hAnsi="Arial" w:cs="Arial"/>
                <w:sz w:val="24"/>
                <w:szCs w:val="24"/>
              </w:rPr>
            </w:pPr>
            <w:r>
              <w:rPr>
                <w:rFonts w:ascii="Arial" w:hAnsi="Arial" w:cs="Arial"/>
                <w:sz w:val="24"/>
                <w:szCs w:val="24"/>
              </w:rPr>
              <w:t>Tertil</w:t>
            </w:r>
            <w:r w:rsidRPr="005F7310">
              <w:rPr>
                <w:rFonts w:ascii="Arial" w:hAnsi="Arial" w:cs="Arial"/>
                <w:sz w:val="24"/>
                <w:szCs w:val="24"/>
              </w:rPr>
              <w:t xml:space="preserve"> 1</w:t>
            </w:r>
          </w:p>
        </w:tc>
        <w:tc>
          <w:tcPr>
            <w:tcW w:w="4573" w:type="dxa"/>
            <w:tcBorders>
              <w:right w:val="single" w:sz="4" w:space="0" w:color="auto"/>
            </w:tcBorders>
          </w:tcPr>
          <w:p w:rsidR="00302907" w:rsidRPr="0038307A" w:rsidRDefault="00302907" w:rsidP="00906A00">
            <w:pPr>
              <w:cnfStyle w:val="000000000000"/>
              <w:rPr>
                <w:rFonts w:ascii="Arial" w:hAnsi="Arial" w:cs="Arial"/>
                <w:sz w:val="24"/>
                <w:szCs w:val="24"/>
              </w:rPr>
            </w:pPr>
            <w:r w:rsidRPr="0038307A">
              <w:rPr>
                <w:rFonts w:ascii="Arial" w:hAnsi="Arial" w:cs="Arial"/>
                <w:sz w:val="24"/>
                <w:szCs w:val="24"/>
              </w:rPr>
              <w:t xml:space="preserve"> </w:t>
            </w:r>
            <w:r>
              <w:rPr>
                <w:rFonts w:ascii="Arial" w:hAnsi="Arial" w:cs="Arial"/>
                <w:sz w:val="24"/>
                <w:szCs w:val="24"/>
              </w:rPr>
              <w:t>6</w:t>
            </w:r>
            <w:r w:rsidR="00906A00">
              <w:rPr>
                <w:rFonts w:ascii="Arial" w:hAnsi="Arial" w:cs="Arial"/>
                <w:sz w:val="24"/>
                <w:szCs w:val="24"/>
              </w:rPr>
              <w:t>5</w:t>
            </w:r>
            <w:r w:rsidRPr="0038307A">
              <w:rPr>
                <w:rFonts w:ascii="Arial" w:hAnsi="Arial" w:cs="Arial"/>
                <w:sz w:val="24"/>
                <w:szCs w:val="24"/>
              </w:rPr>
              <w:t xml:space="preserve"> (</w:t>
            </w:r>
            <w:r w:rsidR="00906A00">
              <w:rPr>
                <w:rFonts w:ascii="Arial" w:hAnsi="Arial" w:cs="Arial"/>
                <w:sz w:val="24"/>
                <w:szCs w:val="24"/>
              </w:rPr>
              <w:t>82,28</w:t>
            </w:r>
            <w:r w:rsidRPr="0038307A">
              <w:rPr>
                <w:rFonts w:ascii="Arial" w:hAnsi="Arial" w:cs="Arial"/>
                <w:sz w:val="24"/>
                <w:szCs w:val="24"/>
              </w:rPr>
              <w:t>%)</w:t>
            </w:r>
            <w:r w:rsidR="00906A00">
              <w:rPr>
                <w:rFonts w:ascii="Arial" w:hAnsi="Arial" w:cs="Arial"/>
                <w:sz w:val="24"/>
                <w:szCs w:val="24"/>
              </w:rPr>
              <w:t xml:space="preserve">               </w:t>
            </w:r>
            <w:r>
              <w:rPr>
                <w:rFonts w:ascii="Arial" w:hAnsi="Arial" w:cs="Arial"/>
                <w:sz w:val="24"/>
                <w:szCs w:val="24"/>
              </w:rPr>
              <w:t>1</w:t>
            </w:r>
            <w:r w:rsidR="00906A00">
              <w:rPr>
                <w:rFonts w:ascii="Arial" w:hAnsi="Arial" w:cs="Arial"/>
                <w:sz w:val="24"/>
                <w:szCs w:val="24"/>
              </w:rPr>
              <w:t>4</w:t>
            </w:r>
            <w:r>
              <w:rPr>
                <w:rFonts w:ascii="Arial" w:hAnsi="Arial" w:cs="Arial"/>
                <w:sz w:val="24"/>
                <w:szCs w:val="24"/>
              </w:rPr>
              <w:t xml:space="preserve"> </w:t>
            </w:r>
            <w:r w:rsidRPr="0038307A">
              <w:rPr>
                <w:rFonts w:ascii="Arial" w:hAnsi="Arial" w:cs="Arial"/>
                <w:sz w:val="24"/>
                <w:szCs w:val="24"/>
              </w:rPr>
              <w:t>(</w:t>
            </w:r>
            <w:r w:rsidR="00906A00">
              <w:rPr>
                <w:rFonts w:ascii="Arial" w:hAnsi="Arial" w:cs="Arial"/>
                <w:sz w:val="24"/>
                <w:szCs w:val="24"/>
              </w:rPr>
              <w:t>17,72</w:t>
            </w:r>
            <w:r w:rsidRPr="0038307A">
              <w:rPr>
                <w:rFonts w:ascii="Arial" w:hAnsi="Arial" w:cs="Arial"/>
                <w:sz w:val="24"/>
                <w:szCs w:val="24"/>
              </w:rPr>
              <w:t>%)</w:t>
            </w:r>
          </w:p>
        </w:tc>
      </w:tr>
      <w:tr w:rsidR="00302907" w:rsidTr="004D272A">
        <w:trPr>
          <w:cnfStyle w:val="000000100000"/>
          <w:trHeight w:val="364"/>
        </w:trPr>
        <w:tc>
          <w:tcPr>
            <w:cnfStyle w:val="001000000000"/>
            <w:tcW w:w="3736" w:type="dxa"/>
          </w:tcPr>
          <w:p w:rsidR="00302907" w:rsidRDefault="00302907" w:rsidP="004D272A">
            <w:r>
              <w:rPr>
                <w:rFonts w:ascii="Arial" w:hAnsi="Arial" w:cs="Arial"/>
                <w:sz w:val="24"/>
                <w:szCs w:val="24"/>
              </w:rPr>
              <w:t>Tertil</w:t>
            </w:r>
            <w:r w:rsidRPr="005F7310">
              <w:rPr>
                <w:rFonts w:ascii="Arial" w:hAnsi="Arial" w:cs="Arial"/>
                <w:sz w:val="24"/>
                <w:szCs w:val="24"/>
              </w:rPr>
              <w:t xml:space="preserve"> </w:t>
            </w:r>
            <w:r>
              <w:rPr>
                <w:rFonts w:ascii="Arial" w:hAnsi="Arial" w:cs="Arial"/>
                <w:sz w:val="24"/>
                <w:szCs w:val="24"/>
              </w:rPr>
              <w:t>2</w:t>
            </w:r>
          </w:p>
        </w:tc>
        <w:tc>
          <w:tcPr>
            <w:tcW w:w="4573" w:type="dxa"/>
            <w:tcBorders>
              <w:right w:val="single" w:sz="4" w:space="0" w:color="auto"/>
            </w:tcBorders>
          </w:tcPr>
          <w:p w:rsidR="00302907" w:rsidRPr="0038307A" w:rsidRDefault="00302907" w:rsidP="00906A00">
            <w:pPr>
              <w:cnfStyle w:val="000000100000"/>
              <w:rPr>
                <w:rFonts w:ascii="Arial" w:hAnsi="Arial" w:cs="Arial"/>
                <w:sz w:val="24"/>
                <w:szCs w:val="24"/>
              </w:rPr>
            </w:pPr>
            <w:r w:rsidRPr="0038307A">
              <w:rPr>
                <w:rFonts w:ascii="Arial" w:hAnsi="Arial" w:cs="Arial"/>
                <w:sz w:val="24"/>
                <w:szCs w:val="24"/>
              </w:rPr>
              <w:t xml:space="preserve"> </w:t>
            </w:r>
            <w:r>
              <w:rPr>
                <w:rFonts w:ascii="Arial" w:hAnsi="Arial" w:cs="Arial"/>
                <w:sz w:val="24"/>
                <w:szCs w:val="24"/>
              </w:rPr>
              <w:t>5</w:t>
            </w:r>
            <w:r w:rsidR="00906A00">
              <w:rPr>
                <w:rFonts w:ascii="Arial" w:hAnsi="Arial" w:cs="Arial"/>
                <w:sz w:val="24"/>
                <w:szCs w:val="24"/>
              </w:rPr>
              <w:t>0</w:t>
            </w:r>
            <w:r>
              <w:rPr>
                <w:rFonts w:ascii="Arial" w:hAnsi="Arial" w:cs="Arial"/>
                <w:sz w:val="24"/>
                <w:szCs w:val="24"/>
              </w:rPr>
              <w:t xml:space="preserve"> </w:t>
            </w:r>
            <w:r w:rsidRPr="0038307A">
              <w:rPr>
                <w:rFonts w:ascii="Arial" w:hAnsi="Arial" w:cs="Arial"/>
                <w:sz w:val="24"/>
                <w:szCs w:val="24"/>
              </w:rPr>
              <w:t>(</w:t>
            </w:r>
            <w:r w:rsidR="00906A00">
              <w:rPr>
                <w:rFonts w:ascii="Arial" w:hAnsi="Arial" w:cs="Arial"/>
                <w:sz w:val="24"/>
                <w:szCs w:val="24"/>
              </w:rPr>
              <w:t>63,29</w:t>
            </w:r>
            <w:r w:rsidRPr="0038307A">
              <w:rPr>
                <w:rFonts w:ascii="Arial" w:hAnsi="Arial" w:cs="Arial"/>
                <w:sz w:val="24"/>
                <w:szCs w:val="24"/>
              </w:rPr>
              <w:t>%)</w:t>
            </w:r>
            <w:r w:rsidR="00906A00">
              <w:rPr>
                <w:rFonts w:ascii="Arial" w:hAnsi="Arial" w:cs="Arial"/>
                <w:sz w:val="24"/>
                <w:szCs w:val="24"/>
              </w:rPr>
              <w:t xml:space="preserve">               </w:t>
            </w:r>
            <w:r>
              <w:rPr>
                <w:rFonts w:ascii="Arial" w:hAnsi="Arial" w:cs="Arial"/>
                <w:sz w:val="24"/>
                <w:szCs w:val="24"/>
              </w:rPr>
              <w:t>2</w:t>
            </w:r>
            <w:r w:rsidR="00906A00">
              <w:rPr>
                <w:rFonts w:ascii="Arial" w:hAnsi="Arial" w:cs="Arial"/>
                <w:sz w:val="24"/>
                <w:szCs w:val="24"/>
              </w:rPr>
              <w:t>9</w:t>
            </w:r>
            <w:r>
              <w:rPr>
                <w:rFonts w:ascii="Arial" w:hAnsi="Arial" w:cs="Arial"/>
                <w:sz w:val="24"/>
                <w:szCs w:val="24"/>
              </w:rPr>
              <w:t xml:space="preserve"> (</w:t>
            </w:r>
            <w:r w:rsidR="00906A00">
              <w:rPr>
                <w:rFonts w:ascii="Arial" w:hAnsi="Arial" w:cs="Arial"/>
                <w:sz w:val="24"/>
                <w:szCs w:val="24"/>
              </w:rPr>
              <w:t>36,71</w:t>
            </w:r>
            <w:r>
              <w:rPr>
                <w:rFonts w:ascii="Arial" w:hAnsi="Arial" w:cs="Arial"/>
                <w:sz w:val="24"/>
                <w:szCs w:val="24"/>
              </w:rPr>
              <w:t>%)</w:t>
            </w:r>
          </w:p>
        </w:tc>
      </w:tr>
      <w:tr w:rsidR="00302907" w:rsidTr="004D272A">
        <w:trPr>
          <w:trHeight w:val="344"/>
        </w:trPr>
        <w:tc>
          <w:tcPr>
            <w:cnfStyle w:val="001000000000"/>
            <w:tcW w:w="3736" w:type="dxa"/>
          </w:tcPr>
          <w:p w:rsidR="00302907" w:rsidRDefault="00302907" w:rsidP="004D272A">
            <w:r>
              <w:rPr>
                <w:rFonts w:ascii="Arial" w:hAnsi="Arial" w:cs="Arial"/>
                <w:sz w:val="24"/>
                <w:szCs w:val="24"/>
              </w:rPr>
              <w:t>Tertil</w:t>
            </w:r>
            <w:r w:rsidRPr="005F7310">
              <w:rPr>
                <w:rFonts w:ascii="Arial" w:hAnsi="Arial" w:cs="Arial"/>
                <w:sz w:val="24"/>
                <w:szCs w:val="24"/>
              </w:rPr>
              <w:t xml:space="preserve"> </w:t>
            </w:r>
            <w:r>
              <w:rPr>
                <w:rFonts w:ascii="Arial" w:hAnsi="Arial" w:cs="Arial"/>
                <w:sz w:val="24"/>
                <w:szCs w:val="24"/>
              </w:rPr>
              <w:t>3</w:t>
            </w:r>
          </w:p>
        </w:tc>
        <w:tc>
          <w:tcPr>
            <w:tcW w:w="4573" w:type="dxa"/>
            <w:tcBorders>
              <w:right w:val="single" w:sz="4" w:space="0" w:color="auto"/>
            </w:tcBorders>
          </w:tcPr>
          <w:p w:rsidR="00302907" w:rsidRPr="0038307A" w:rsidRDefault="00302907" w:rsidP="00906A00">
            <w:pPr>
              <w:cnfStyle w:val="000000000000"/>
              <w:rPr>
                <w:rFonts w:ascii="Arial" w:hAnsi="Arial" w:cs="Arial"/>
                <w:sz w:val="24"/>
                <w:szCs w:val="24"/>
              </w:rPr>
            </w:pPr>
            <w:r>
              <w:rPr>
                <w:rFonts w:ascii="Arial" w:hAnsi="Arial" w:cs="Arial"/>
                <w:sz w:val="24"/>
                <w:szCs w:val="24"/>
              </w:rPr>
              <w:t xml:space="preserve"> 3</w:t>
            </w:r>
            <w:r w:rsidR="00906A00">
              <w:rPr>
                <w:rFonts w:ascii="Arial" w:hAnsi="Arial" w:cs="Arial"/>
                <w:sz w:val="24"/>
                <w:szCs w:val="24"/>
              </w:rPr>
              <w:t>1</w:t>
            </w:r>
            <w:r w:rsidRPr="0038307A">
              <w:rPr>
                <w:rFonts w:ascii="Arial" w:hAnsi="Arial" w:cs="Arial"/>
                <w:sz w:val="24"/>
                <w:szCs w:val="24"/>
              </w:rPr>
              <w:t xml:space="preserve"> (</w:t>
            </w:r>
            <w:r w:rsidR="00906A00">
              <w:rPr>
                <w:rFonts w:ascii="Arial" w:hAnsi="Arial" w:cs="Arial"/>
                <w:sz w:val="24"/>
                <w:szCs w:val="24"/>
              </w:rPr>
              <w:t>38,75</w:t>
            </w:r>
            <w:r w:rsidRPr="0038307A">
              <w:rPr>
                <w:rFonts w:ascii="Arial" w:hAnsi="Arial" w:cs="Arial"/>
                <w:sz w:val="24"/>
                <w:szCs w:val="24"/>
              </w:rPr>
              <w:t>%)</w:t>
            </w:r>
            <w:r w:rsidR="00906A00">
              <w:rPr>
                <w:rFonts w:ascii="Arial" w:hAnsi="Arial" w:cs="Arial"/>
                <w:sz w:val="24"/>
                <w:szCs w:val="24"/>
              </w:rPr>
              <w:t xml:space="preserve">               </w:t>
            </w:r>
            <w:r>
              <w:rPr>
                <w:rFonts w:ascii="Arial" w:hAnsi="Arial" w:cs="Arial"/>
                <w:sz w:val="24"/>
                <w:szCs w:val="24"/>
              </w:rPr>
              <w:t>4</w:t>
            </w:r>
            <w:r w:rsidR="00906A00">
              <w:rPr>
                <w:rFonts w:ascii="Arial" w:hAnsi="Arial" w:cs="Arial"/>
                <w:sz w:val="24"/>
                <w:szCs w:val="24"/>
              </w:rPr>
              <w:t>9</w:t>
            </w:r>
            <w:r>
              <w:rPr>
                <w:rFonts w:ascii="Arial" w:hAnsi="Arial" w:cs="Arial"/>
                <w:sz w:val="24"/>
                <w:szCs w:val="24"/>
              </w:rPr>
              <w:t xml:space="preserve"> (</w:t>
            </w:r>
            <w:r w:rsidR="00906A00">
              <w:rPr>
                <w:rFonts w:ascii="Arial" w:hAnsi="Arial" w:cs="Arial"/>
                <w:sz w:val="24"/>
                <w:szCs w:val="24"/>
              </w:rPr>
              <w:t>61,25</w:t>
            </w:r>
            <w:r>
              <w:rPr>
                <w:rFonts w:ascii="Arial" w:hAnsi="Arial" w:cs="Arial"/>
                <w:sz w:val="24"/>
                <w:szCs w:val="24"/>
              </w:rPr>
              <w:t>%)</w:t>
            </w:r>
          </w:p>
        </w:tc>
      </w:tr>
      <w:tr w:rsidR="00302907" w:rsidTr="004D272A">
        <w:trPr>
          <w:cnfStyle w:val="000000100000"/>
          <w:trHeight w:val="344"/>
        </w:trPr>
        <w:tc>
          <w:tcPr>
            <w:cnfStyle w:val="001000000000"/>
            <w:tcW w:w="3736" w:type="dxa"/>
          </w:tcPr>
          <w:p w:rsidR="00302907" w:rsidRPr="005F7310" w:rsidRDefault="00302907" w:rsidP="004D272A">
            <w:pPr>
              <w:rPr>
                <w:rFonts w:ascii="Arial" w:hAnsi="Arial" w:cs="Arial"/>
                <w:sz w:val="24"/>
                <w:szCs w:val="24"/>
              </w:rPr>
            </w:pPr>
            <w:r w:rsidRPr="005F7310">
              <w:rPr>
                <w:rFonts w:ascii="Arial" w:hAnsi="Arial" w:cs="Arial"/>
                <w:sz w:val="24"/>
                <w:szCs w:val="24"/>
              </w:rPr>
              <w:t>Total</w:t>
            </w:r>
          </w:p>
        </w:tc>
        <w:tc>
          <w:tcPr>
            <w:tcW w:w="4573" w:type="dxa"/>
            <w:tcBorders>
              <w:right w:val="single" w:sz="4" w:space="0" w:color="auto"/>
            </w:tcBorders>
          </w:tcPr>
          <w:p w:rsidR="00302907" w:rsidRPr="0038307A" w:rsidRDefault="00302907" w:rsidP="00906A00">
            <w:pPr>
              <w:cnfStyle w:val="000000100000"/>
              <w:rPr>
                <w:rFonts w:ascii="Arial" w:hAnsi="Arial" w:cs="Arial"/>
                <w:sz w:val="24"/>
                <w:szCs w:val="24"/>
              </w:rPr>
            </w:pPr>
            <w:r>
              <w:t xml:space="preserve"> </w:t>
            </w:r>
            <w:r>
              <w:rPr>
                <w:rFonts w:ascii="Arial" w:hAnsi="Arial" w:cs="Arial"/>
                <w:sz w:val="24"/>
                <w:szCs w:val="24"/>
              </w:rPr>
              <w:t>1</w:t>
            </w:r>
            <w:r w:rsidR="00906A00">
              <w:rPr>
                <w:rFonts w:ascii="Arial" w:hAnsi="Arial" w:cs="Arial"/>
                <w:sz w:val="24"/>
                <w:szCs w:val="24"/>
              </w:rPr>
              <w:t>46</w:t>
            </w:r>
            <w:r>
              <w:rPr>
                <w:rFonts w:ascii="Arial" w:hAnsi="Arial" w:cs="Arial"/>
                <w:sz w:val="24"/>
                <w:szCs w:val="24"/>
              </w:rPr>
              <w:t xml:space="preserve"> (</w:t>
            </w:r>
            <w:r w:rsidR="00177AD6">
              <w:rPr>
                <w:rFonts w:ascii="Arial" w:hAnsi="Arial" w:cs="Arial"/>
                <w:sz w:val="24"/>
                <w:szCs w:val="24"/>
              </w:rPr>
              <w:t>61,34</w:t>
            </w:r>
            <w:r>
              <w:rPr>
                <w:rFonts w:ascii="Arial" w:hAnsi="Arial" w:cs="Arial"/>
                <w:sz w:val="24"/>
                <w:szCs w:val="24"/>
              </w:rPr>
              <w:t xml:space="preserve">%)              </w:t>
            </w:r>
            <w:r w:rsidR="00906A00">
              <w:rPr>
                <w:rFonts w:ascii="Arial" w:hAnsi="Arial" w:cs="Arial"/>
                <w:sz w:val="24"/>
                <w:szCs w:val="24"/>
              </w:rPr>
              <w:t>92</w:t>
            </w:r>
            <w:r>
              <w:rPr>
                <w:rFonts w:ascii="Arial" w:hAnsi="Arial" w:cs="Arial"/>
                <w:sz w:val="24"/>
                <w:szCs w:val="24"/>
              </w:rPr>
              <w:t xml:space="preserve"> (</w:t>
            </w:r>
            <w:r w:rsidR="00906A00">
              <w:rPr>
                <w:rFonts w:ascii="Arial" w:hAnsi="Arial" w:cs="Arial"/>
                <w:sz w:val="24"/>
                <w:szCs w:val="24"/>
              </w:rPr>
              <w:t>38,66</w:t>
            </w:r>
            <w:r>
              <w:rPr>
                <w:rFonts w:ascii="Arial" w:hAnsi="Arial" w:cs="Arial"/>
                <w:sz w:val="24"/>
                <w:szCs w:val="24"/>
              </w:rPr>
              <w:t>%)</w:t>
            </w:r>
          </w:p>
        </w:tc>
      </w:tr>
      <w:tr w:rsidR="00302907" w:rsidTr="004D272A">
        <w:trPr>
          <w:trHeight w:val="364"/>
        </w:trPr>
        <w:tc>
          <w:tcPr>
            <w:cnfStyle w:val="001000000000"/>
            <w:tcW w:w="8309" w:type="dxa"/>
            <w:gridSpan w:val="2"/>
            <w:tcBorders>
              <w:right w:val="single" w:sz="4" w:space="0" w:color="auto"/>
            </w:tcBorders>
          </w:tcPr>
          <w:p w:rsidR="00302907" w:rsidRDefault="00302907" w:rsidP="004D272A">
            <w:r w:rsidRPr="005F7310">
              <w:rPr>
                <w:rFonts w:ascii="Arial" w:hAnsi="Arial" w:cs="Arial"/>
                <w:sz w:val="24"/>
                <w:szCs w:val="24"/>
              </w:rPr>
              <w:t xml:space="preserve">Fuente: </w:t>
            </w:r>
            <w:r w:rsidRPr="002B7118">
              <w:rPr>
                <w:rFonts w:ascii="Arial" w:hAnsi="Arial" w:cs="Arial"/>
                <w:b w:val="0"/>
                <w:sz w:val="24"/>
                <w:szCs w:val="24"/>
              </w:rPr>
              <w:t>Historias clínicas</w:t>
            </w:r>
          </w:p>
        </w:tc>
      </w:tr>
    </w:tbl>
    <w:p w:rsidR="003E44F5" w:rsidRDefault="003E44F5" w:rsidP="00922CA6">
      <w:pPr>
        <w:spacing w:line="360" w:lineRule="auto"/>
        <w:jc w:val="both"/>
        <w:rPr>
          <w:rFonts w:ascii="Arial" w:hAnsi="Arial" w:cs="Arial"/>
          <w:b/>
          <w:sz w:val="24"/>
          <w:szCs w:val="24"/>
        </w:rPr>
      </w:pPr>
    </w:p>
    <w:p w:rsidR="00922CA6" w:rsidRDefault="00922CA6" w:rsidP="00922CA6">
      <w:pPr>
        <w:spacing w:line="360" w:lineRule="auto"/>
        <w:jc w:val="both"/>
        <w:rPr>
          <w:rFonts w:ascii="Arial" w:hAnsi="Arial" w:cs="Arial"/>
          <w:b/>
          <w:sz w:val="24"/>
          <w:szCs w:val="24"/>
        </w:rPr>
      </w:pPr>
      <w:r w:rsidRPr="00922CA6">
        <w:rPr>
          <w:rFonts w:ascii="Arial" w:hAnsi="Arial" w:cs="Arial"/>
          <w:b/>
          <w:sz w:val="24"/>
          <w:szCs w:val="24"/>
        </w:rPr>
        <w:t xml:space="preserve">Gráfico 1. </w:t>
      </w:r>
      <w:r w:rsidRPr="002B7118">
        <w:rPr>
          <w:rFonts w:ascii="Arial" w:hAnsi="Arial" w:cs="Arial"/>
          <w:sz w:val="24"/>
          <w:szCs w:val="24"/>
        </w:rPr>
        <w:t>Distribución de los pacientes según supervivencia y tertiles de cociente urea/creatinina.</w:t>
      </w:r>
    </w:p>
    <w:p w:rsidR="003E44F5" w:rsidRDefault="00922CA6" w:rsidP="00A66ADF">
      <w:pPr>
        <w:spacing w:line="360" w:lineRule="auto"/>
        <w:jc w:val="both"/>
        <w:rPr>
          <w:rFonts w:ascii="Arial" w:hAnsi="Arial" w:cs="Arial"/>
          <w:sz w:val="24"/>
          <w:szCs w:val="24"/>
        </w:rPr>
      </w:pPr>
      <w:r w:rsidRPr="00922CA6">
        <w:rPr>
          <w:rFonts w:ascii="Arial" w:hAnsi="Arial" w:cs="Arial"/>
          <w:noProof/>
          <w:sz w:val="24"/>
          <w:szCs w:val="24"/>
          <w:lang w:val="en-US" w:eastAsia="en-US"/>
        </w:rPr>
        <w:drawing>
          <wp:inline distT="0" distB="0" distL="0" distR="0">
            <wp:extent cx="3990172" cy="1682151"/>
            <wp:effectExtent l="19050" t="0" r="10328"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3E44F5">
        <w:rPr>
          <w:rFonts w:ascii="Arial" w:hAnsi="Arial" w:cs="Arial"/>
          <w:sz w:val="24"/>
          <w:szCs w:val="24"/>
        </w:rPr>
        <w:t xml:space="preserve"> Fuente: Tabla 2</w:t>
      </w:r>
    </w:p>
    <w:p w:rsidR="006A5A9D" w:rsidRDefault="006A5A9D" w:rsidP="006A5A9D">
      <w:pPr>
        <w:spacing w:line="360" w:lineRule="auto"/>
        <w:jc w:val="both"/>
        <w:rPr>
          <w:rFonts w:ascii="Arial" w:hAnsi="Arial" w:cs="Arial"/>
          <w:b/>
          <w:sz w:val="24"/>
          <w:szCs w:val="24"/>
        </w:rPr>
      </w:pPr>
      <w:r w:rsidRPr="006A5A9D">
        <w:rPr>
          <w:rFonts w:ascii="Arial" w:hAnsi="Arial" w:cs="Arial"/>
          <w:b/>
          <w:sz w:val="24"/>
          <w:szCs w:val="24"/>
        </w:rPr>
        <w:lastRenderedPageBreak/>
        <w:t xml:space="preserve">Gráfico </w:t>
      </w:r>
      <w:r w:rsidR="000D0B3C">
        <w:rPr>
          <w:rFonts w:ascii="Arial" w:hAnsi="Arial" w:cs="Arial"/>
          <w:b/>
          <w:sz w:val="24"/>
          <w:szCs w:val="24"/>
        </w:rPr>
        <w:t>2</w:t>
      </w:r>
      <w:r w:rsidRPr="006A5A9D">
        <w:rPr>
          <w:rFonts w:ascii="Arial" w:hAnsi="Arial" w:cs="Arial"/>
          <w:b/>
          <w:sz w:val="24"/>
          <w:szCs w:val="24"/>
        </w:rPr>
        <w:t xml:space="preserve">. </w:t>
      </w:r>
      <w:r w:rsidR="008E52A7" w:rsidRPr="002B7118">
        <w:rPr>
          <w:rFonts w:ascii="Arial" w:hAnsi="Arial" w:cs="Arial"/>
          <w:sz w:val="24"/>
          <w:szCs w:val="24"/>
        </w:rPr>
        <w:t>Funciones</w:t>
      </w:r>
      <w:r w:rsidRPr="002B7118">
        <w:rPr>
          <w:rFonts w:ascii="Arial" w:hAnsi="Arial" w:cs="Arial"/>
          <w:sz w:val="24"/>
          <w:szCs w:val="24"/>
        </w:rPr>
        <w:t xml:space="preserve"> de supervivencia global según tertiles de cociente urea/creatinina.</w:t>
      </w:r>
    </w:p>
    <w:p w:rsidR="00295E9E" w:rsidRDefault="00295E9E" w:rsidP="00295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val="en-US" w:eastAsia="en-US"/>
        </w:rPr>
        <w:drawing>
          <wp:inline distT="0" distB="0" distL="0" distR="0">
            <wp:extent cx="4440807" cy="3545456"/>
            <wp:effectExtent l="1905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4440703" cy="3545373"/>
                    </a:xfrm>
                    <a:prstGeom prst="rect">
                      <a:avLst/>
                    </a:prstGeom>
                    <a:noFill/>
                    <a:ln w="9525">
                      <a:noFill/>
                      <a:miter lim="800000"/>
                      <a:headEnd/>
                      <a:tailEnd/>
                    </a:ln>
                  </pic:spPr>
                </pic:pic>
              </a:graphicData>
            </a:graphic>
          </wp:inline>
        </w:drawing>
      </w:r>
    </w:p>
    <w:p w:rsidR="008E52A7" w:rsidRDefault="008E52A7" w:rsidP="006A5A9D">
      <w:pPr>
        <w:spacing w:line="360" w:lineRule="auto"/>
        <w:jc w:val="both"/>
        <w:rPr>
          <w:rFonts w:ascii="Arial" w:hAnsi="Arial" w:cs="Arial"/>
          <w:b/>
          <w:sz w:val="24"/>
          <w:szCs w:val="24"/>
        </w:rPr>
      </w:pPr>
    </w:p>
    <w:p w:rsidR="006A5A9D" w:rsidRDefault="00295E9E" w:rsidP="006A5A9D">
      <w:pPr>
        <w:spacing w:line="360" w:lineRule="auto"/>
        <w:jc w:val="both"/>
        <w:rPr>
          <w:rFonts w:ascii="Arial" w:hAnsi="Arial" w:cs="Arial"/>
          <w:b/>
          <w:sz w:val="24"/>
          <w:szCs w:val="24"/>
        </w:rPr>
      </w:pPr>
      <w:r w:rsidRPr="00295E9E">
        <w:rPr>
          <w:rFonts w:ascii="Arial" w:hAnsi="Arial" w:cs="Arial"/>
          <w:b/>
          <w:sz w:val="24"/>
          <w:szCs w:val="24"/>
        </w:rPr>
        <w:t xml:space="preserve">Tabla 3. </w:t>
      </w:r>
      <w:r w:rsidRPr="002B7118">
        <w:rPr>
          <w:rFonts w:ascii="Arial" w:hAnsi="Arial" w:cs="Arial"/>
          <w:sz w:val="24"/>
          <w:szCs w:val="24"/>
        </w:rPr>
        <w:t>Prueba de igualdad de distribuciones de supervivencia para los tertiles de  cociente urea/creatinina.</w:t>
      </w:r>
    </w:p>
    <w:tbl>
      <w:tblPr>
        <w:tblStyle w:val="Listaclara-nfasis5"/>
        <w:tblW w:w="7882" w:type="dxa"/>
        <w:tblInd w:w="615" w:type="dxa"/>
        <w:tblLayout w:type="fixed"/>
        <w:tblLook w:val="04A0"/>
      </w:tblPr>
      <w:tblGrid>
        <w:gridCol w:w="1247"/>
        <w:gridCol w:w="940"/>
        <w:gridCol w:w="236"/>
        <w:gridCol w:w="2057"/>
        <w:gridCol w:w="1701"/>
        <w:gridCol w:w="236"/>
        <w:gridCol w:w="1465"/>
      </w:tblGrid>
      <w:tr w:rsidR="009553E9" w:rsidTr="008E52A7">
        <w:trPr>
          <w:cnfStyle w:val="100000000000"/>
          <w:trHeight w:val="496"/>
        </w:trPr>
        <w:tc>
          <w:tcPr>
            <w:cnfStyle w:val="001000000000"/>
            <w:tcW w:w="1247" w:type="dxa"/>
            <w:tcBorders>
              <w:right w:val="single" w:sz="4" w:space="0" w:color="auto"/>
            </w:tcBorders>
          </w:tcPr>
          <w:p w:rsidR="009553E9" w:rsidRDefault="009553E9" w:rsidP="006A5A9D">
            <w:pPr>
              <w:spacing w:line="360" w:lineRule="auto"/>
              <w:jc w:val="both"/>
              <w:rPr>
                <w:rFonts w:ascii="Arial" w:hAnsi="Arial" w:cs="Arial"/>
                <w:b w:val="0"/>
                <w:sz w:val="24"/>
                <w:szCs w:val="24"/>
              </w:rPr>
            </w:pPr>
            <w:r>
              <w:rPr>
                <w:rFonts w:ascii="Arial" w:hAnsi="Arial" w:cs="Arial"/>
                <w:b w:val="0"/>
                <w:sz w:val="24"/>
                <w:szCs w:val="24"/>
              </w:rPr>
              <w:t>Tertiles</w:t>
            </w:r>
          </w:p>
        </w:tc>
        <w:tc>
          <w:tcPr>
            <w:tcW w:w="940" w:type="dxa"/>
            <w:tcBorders>
              <w:left w:val="single" w:sz="4" w:space="0" w:color="auto"/>
            </w:tcBorders>
          </w:tcPr>
          <w:p w:rsidR="009553E9" w:rsidRDefault="009553E9" w:rsidP="00F0096E">
            <w:pPr>
              <w:spacing w:line="360" w:lineRule="auto"/>
              <w:jc w:val="both"/>
              <w:cnfStyle w:val="100000000000"/>
              <w:rPr>
                <w:rFonts w:ascii="Arial" w:hAnsi="Arial" w:cs="Arial"/>
                <w:bCs w:val="0"/>
                <w:sz w:val="24"/>
                <w:szCs w:val="24"/>
              </w:rPr>
            </w:pPr>
            <w:r>
              <w:rPr>
                <w:rFonts w:ascii="Arial" w:hAnsi="Arial" w:cs="Arial"/>
                <w:bCs w:val="0"/>
                <w:sz w:val="24"/>
                <w:szCs w:val="24"/>
              </w:rPr>
              <w:t>Total</w:t>
            </w:r>
          </w:p>
        </w:tc>
        <w:tc>
          <w:tcPr>
            <w:tcW w:w="236" w:type="dxa"/>
            <w:tcBorders>
              <w:right w:val="single" w:sz="4" w:space="0" w:color="auto"/>
            </w:tcBorders>
          </w:tcPr>
          <w:p w:rsidR="009553E9" w:rsidRDefault="009553E9" w:rsidP="006A5A9D">
            <w:pPr>
              <w:spacing w:line="360" w:lineRule="auto"/>
              <w:jc w:val="both"/>
              <w:cnfStyle w:val="100000000000"/>
              <w:rPr>
                <w:rFonts w:ascii="Arial" w:hAnsi="Arial" w:cs="Arial"/>
                <w:b w:val="0"/>
                <w:sz w:val="24"/>
                <w:szCs w:val="24"/>
              </w:rPr>
            </w:pPr>
          </w:p>
        </w:tc>
        <w:tc>
          <w:tcPr>
            <w:tcW w:w="2057" w:type="dxa"/>
            <w:tcBorders>
              <w:left w:val="single" w:sz="4" w:space="0" w:color="auto"/>
            </w:tcBorders>
          </w:tcPr>
          <w:p w:rsidR="009553E9" w:rsidRPr="00F0096E" w:rsidRDefault="009553E9" w:rsidP="006A5A9D">
            <w:pPr>
              <w:spacing w:line="360" w:lineRule="auto"/>
              <w:jc w:val="both"/>
              <w:cnfStyle w:val="100000000000"/>
              <w:rPr>
                <w:rFonts w:ascii="Arial" w:hAnsi="Arial" w:cs="Arial"/>
                <w:bCs w:val="0"/>
                <w:sz w:val="24"/>
                <w:szCs w:val="24"/>
              </w:rPr>
            </w:pPr>
            <w:r>
              <w:rPr>
                <w:rFonts w:ascii="Arial" w:hAnsi="Arial" w:cs="Arial"/>
                <w:bCs w:val="0"/>
                <w:sz w:val="24"/>
                <w:szCs w:val="24"/>
              </w:rPr>
              <w:t xml:space="preserve">No. </w:t>
            </w:r>
            <w:r w:rsidRPr="00F0096E">
              <w:rPr>
                <w:rFonts w:ascii="Arial" w:hAnsi="Arial" w:cs="Arial"/>
                <w:bCs w:val="0"/>
                <w:sz w:val="24"/>
                <w:szCs w:val="24"/>
              </w:rPr>
              <w:t>de eventos</w:t>
            </w:r>
          </w:p>
        </w:tc>
        <w:tc>
          <w:tcPr>
            <w:tcW w:w="1701" w:type="dxa"/>
            <w:tcBorders>
              <w:left w:val="single" w:sz="4" w:space="0" w:color="auto"/>
            </w:tcBorders>
          </w:tcPr>
          <w:p w:rsidR="009553E9" w:rsidRPr="00F0096E" w:rsidRDefault="009553E9" w:rsidP="00F0096E">
            <w:pPr>
              <w:spacing w:line="360" w:lineRule="auto"/>
              <w:jc w:val="both"/>
              <w:cnfStyle w:val="100000000000"/>
              <w:rPr>
                <w:rFonts w:ascii="Arial" w:hAnsi="Arial" w:cs="Arial"/>
                <w:sz w:val="24"/>
                <w:szCs w:val="24"/>
              </w:rPr>
            </w:pPr>
            <w:r>
              <w:rPr>
                <w:rFonts w:ascii="Arial" w:hAnsi="Arial" w:cs="Arial"/>
                <w:sz w:val="24"/>
                <w:szCs w:val="24"/>
              </w:rPr>
              <w:t>Censurados</w:t>
            </w:r>
          </w:p>
        </w:tc>
        <w:tc>
          <w:tcPr>
            <w:tcW w:w="1701" w:type="dxa"/>
            <w:gridSpan w:val="2"/>
            <w:tcBorders>
              <w:left w:val="single" w:sz="4" w:space="0" w:color="auto"/>
            </w:tcBorders>
          </w:tcPr>
          <w:p w:rsidR="009553E9" w:rsidRPr="00F0096E" w:rsidRDefault="009553E9" w:rsidP="009553E9">
            <w:pPr>
              <w:spacing w:line="360" w:lineRule="auto"/>
              <w:jc w:val="center"/>
              <w:cnfStyle w:val="100000000000"/>
              <w:rPr>
                <w:rFonts w:ascii="Arial" w:hAnsi="Arial" w:cs="Arial"/>
                <w:b w:val="0"/>
                <w:bCs w:val="0"/>
                <w:sz w:val="24"/>
                <w:szCs w:val="24"/>
              </w:rPr>
            </w:pPr>
            <w:r>
              <w:rPr>
                <w:rFonts w:ascii="Arial" w:hAnsi="Arial" w:cs="Arial"/>
                <w:b w:val="0"/>
                <w:bCs w:val="0"/>
                <w:sz w:val="24"/>
                <w:szCs w:val="24"/>
              </w:rPr>
              <w:t>Log-Rank (Mantel-Cox)</w:t>
            </w:r>
          </w:p>
        </w:tc>
      </w:tr>
      <w:tr w:rsidR="009553E9" w:rsidTr="008E52A7">
        <w:trPr>
          <w:cnfStyle w:val="000000100000"/>
        </w:trPr>
        <w:tc>
          <w:tcPr>
            <w:cnfStyle w:val="001000000000"/>
            <w:tcW w:w="1247" w:type="dxa"/>
            <w:tcBorders>
              <w:right w:val="single" w:sz="4" w:space="0" w:color="auto"/>
            </w:tcBorders>
          </w:tcPr>
          <w:p w:rsidR="009553E9" w:rsidRDefault="009553E9" w:rsidP="006A5A9D">
            <w:pPr>
              <w:spacing w:line="360" w:lineRule="auto"/>
              <w:jc w:val="both"/>
              <w:rPr>
                <w:rFonts w:ascii="Arial" w:hAnsi="Arial" w:cs="Arial"/>
                <w:b w:val="0"/>
                <w:sz w:val="24"/>
                <w:szCs w:val="24"/>
              </w:rPr>
            </w:pPr>
            <w:r>
              <w:rPr>
                <w:rFonts w:ascii="Arial" w:hAnsi="Arial" w:cs="Arial"/>
                <w:b w:val="0"/>
                <w:sz w:val="24"/>
                <w:szCs w:val="24"/>
              </w:rPr>
              <w:t>Tertil 1</w:t>
            </w:r>
          </w:p>
        </w:tc>
        <w:tc>
          <w:tcPr>
            <w:tcW w:w="940" w:type="dxa"/>
            <w:tcBorders>
              <w:left w:val="single" w:sz="4" w:space="0" w:color="auto"/>
            </w:tcBorders>
          </w:tcPr>
          <w:p w:rsidR="009553E9" w:rsidRDefault="009553E9" w:rsidP="00F0096E">
            <w:pPr>
              <w:spacing w:line="360" w:lineRule="auto"/>
              <w:jc w:val="center"/>
              <w:cnfStyle w:val="000000100000"/>
              <w:rPr>
                <w:rFonts w:ascii="Arial" w:hAnsi="Arial" w:cs="Arial"/>
                <w:bCs/>
                <w:sz w:val="24"/>
                <w:szCs w:val="24"/>
              </w:rPr>
            </w:pPr>
            <w:r>
              <w:rPr>
                <w:rFonts w:ascii="Arial" w:hAnsi="Arial" w:cs="Arial"/>
                <w:bCs/>
                <w:sz w:val="24"/>
                <w:szCs w:val="24"/>
              </w:rPr>
              <w:t>79</w:t>
            </w:r>
          </w:p>
        </w:tc>
        <w:tc>
          <w:tcPr>
            <w:tcW w:w="236" w:type="dxa"/>
            <w:tcBorders>
              <w:right w:val="single" w:sz="4" w:space="0" w:color="auto"/>
            </w:tcBorders>
          </w:tcPr>
          <w:p w:rsidR="009553E9" w:rsidRDefault="009553E9" w:rsidP="006A5A9D">
            <w:pPr>
              <w:spacing w:line="360" w:lineRule="auto"/>
              <w:jc w:val="both"/>
              <w:cnfStyle w:val="000000100000"/>
              <w:rPr>
                <w:rFonts w:ascii="Arial" w:hAnsi="Arial" w:cs="Arial"/>
                <w:b/>
                <w:sz w:val="24"/>
                <w:szCs w:val="24"/>
              </w:rPr>
            </w:pPr>
          </w:p>
        </w:tc>
        <w:tc>
          <w:tcPr>
            <w:tcW w:w="2057" w:type="dxa"/>
            <w:tcBorders>
              <w:left w:val="single" w:sz="4" w:space="0" w:color="auto"/>
            </w:tcBorders>
          </w:tcPr>
          <w:p w:rsidR="009553E9" w:rsidRPr="00F0096E" w:rsidRDefault="009553E9" w:rsidP="00F0096E">
            <w:pPr>
              <w:spacing w:line="360" w:lineRule="auto"/>
              <w:jc w:val="center"/>
              <w:cnfStyle w:val="000000100000"/>
              <w:rPr>
                <w:rFonts w:ascii="Arial" w:hAnsi="Arial" w:cs="Arial"/>
                <w:sz w:val="24"/>
                <w:szCs w:val="24"/>
              </w:rPr>
            </w:pPr>
            <w:r w:rsidRPr="00F0096E">
              <w:rPr>
                <w:rFonts w:ascii="Arial" w:hAnsi="Arial" w:cs="Arial"/>
                <w:sz w:val="24"/>
                <w:szCs w:val="24"/>
              </w:rPr>
              <w:t>14</w:t>
            </w:r>
          </w:p>
        </w:tc>
        <w:tc>
          <w:tcPr>
            <w:tcW w:w="1701" w:type="dxa"/>
            <w:tcBorders>
              <w:left w:val="single" w:sz="4" w:space="0" w:color="auto"/>
            </w:tcBorders>
          </w:tcPr>
          <w:p w:rsidR="009553E9" w:rsidRPr="00F0096E" w:rsidRDefault="009553E9" w:rsidP="00F0096E">
            <w:pPr>
              <w:spacing w:line="360" w:lineRule="auto"/>
              <w:jc w:val="center"/>
              <w:cnfStyle w:val="000000100000"/>
              <w:rPr>
                <w:rFonts w:ascii="Arial" w:hAnsi="Arial" w:cs="Arial"/>
                <w:sz w:val="24"/>
                <w:szCs w:val="24"/>
              </w:rPr>
            </w:pPr>
            <w:r w:rsidRPr="00F0096E">
              <w:rPr>
                <w:rFonts w:ascii="Arial" w:hAnsi="Arial" w:cs="Arial"/>
                <w:sz w:val="24"/>
                <w:szCs w:val="24"/>
              </w:rPr>
              <w:t>65</w:t>
            </w:r>
            <w:r>
              <w:rPr>
                <w:rFonts w:ascii="Arial" w:hAnsi="Arial" w:cs="Arial"/>
                <w:sz w:val="24"/>
                <w:szCs w:val="24"/>
              </w:rPr>
              <w:t xml:space="preserve"> (82,3%)</w:t>
            </w:r>
          </w:p>
        </w:tc>
        <w:tc>
          <w:tcPr>
            <w:tcW w:w="236" w:type="dxa"/>
            <w:vMerge w:val="restart"/>
            <w:tcBorders>
              <w:left w:val="single" w:sz="4" w:space="0" w:color="auto"/>
            </w:tcBorders>
          </w:tcPr>
          <w:p w:rsidR="009553E9" w:rsidRDefault="009553E9" w:rsidP="006A5A9D">
            <w:pPr>
              <w:spacing w:line="360" w:lineRule="auto"/>
              <w:jc w:val="both"/>
              <w:cnfStyle w:val="000000100000"/>
              <w:rPr>
                <w:rFonts w:ascii="Arial" w:hAnsi="Arial" w:cs="Arial"/>
                <w:b/>
                <w:sz w:val="24"/>
                <w:szCs w:val="24"/>
              </w:rPr>
            </w:pPr>
          </w:p>
        </w:tc>
        <w:tc>
          <w:tcPr>
            <w:tcW w:w="1465" w:type="dxa"/>
            <w:vMerge w:val="restart"/>
          </w:tcPr>
          <w:p w:rsidR="009553E9" w:rsidRDefault="009553E9" w:rsidP="006A5A9D">
            <w:pPr>
              <w:spacing w:line="360" w:lineRule="auto"/>
              <w:jc w:val="both"/>
              <w:cnfStyle w:val="000000100000"/>
              <w:rPr>
                <w:rFonts w:ascii="Arial" w:hAnsi="Arial" w:cs="Arial"/>
                <w:b/>
                <w:sz w:val="24"/>
                <w:szCs w:val="24"/>
              </w:rPr>
            </w:pPr>
          </w:p>
          <w:p w:rsidR="009553E9" w:rsidRDefault="009553E9" w:rsidP="009553E9">
            <w:pPr>
              <w:spacing w:line="360" w:lineRule="auto"/>
              <w:jc w:val="both"/>
              <w:cnfStyle w:val="000000100000"/>
              <w:rPr>
                <w:rFonts w:ascii="Arial" w:hAnsi="Arial" w:cs="Arial"/>
                <w:sz w:val="24"/>
                <w:szCs w:val="24"/>
              </w:rPr>
            </w:pPr>
          </w:p>
          <w:p w:rsidR="009553E9" w:rsidRPr="009553E9" w:rsidRDefault="009553E9" w:rsidP="009553E9">
            <w:pPr>
              <w:spacing w:line="360" w:lineRule="auto"/>
              <w:jc w:val="both"/>
              <w:cnfStyle w:val="000000100000"/>
              <w:rPr>
                <w:rFonts w:ascii="Arial" w:hAnsi="Arial" w:cs="Arial"/>
                <w:sz w:val="24"/>
                <w:szCs w:val="24"/>
              </w:rPr>
            </w:pPr>
            <w:r w:rsidRPr="009553E9">
              <w:rPr>
                <w:rFonts w:ascii="Arial" w:hAnsi="Arial" w:cs="Arial"/>
                <w:sz w:val="24"/>
                <w:szCs w:val="24"/>
              </w:rPr>
              <w:t>p&lt;0,0001</w:t>
            </w:r>
          </w:p>
        </w:tc>
      </w:tr>
      <w:tr w:rsidR="009553E9" w:rsidTr="008E52A7">
        <w:tc>
          <w:tcPr>
            <w:cnfStyle w:val="001000000000"/>
            <w:tcW w:w="1247" w:type="dxa"/>
            <w:tcBorders>
              <w:right w:val="single" w:sz="4" w:space="0" w:color="auto"/>
            </w:tcBorders>
          </w:tcPr>
          <w:p w:rsidR="009553E9" w:rsidRDefault="009553E9" w:rsidP="006A5A9D">
            <w:pPr>
              <w:spacing w:line="360" w:lineRule="auto"/>
              <w:jc w:val="both"/>
              <w:rPr>
                <w:rFonts w:ascii="Arial" w:hAnsi="Arial" w:cs="Arial"/>
                <w:b w:val="0"/>
                <w:sz w:val="24"/>
                <w:szCs w:val="24"/>
              </w:rPr>
            </w:pPr>
            <w:r>
              <w:rPr>
                <w:rFonts w:ascii="Arial" w:hAnsi="Arial" w:cs="Arial"/>
                <w:b w:val="0"/>
                <w:sz w:val="24"/>
                <w:szCs w:val="24"/>
              </w:rPr>
              <w:t>Tertil 2</w:t>
            </w:r>
          </w:p>
        </w:tc>
        <w:tc>
          <w:tcPr>
            <w:tcW w:w="940" w:type="dxa"/>
            <w:tcBorders>
              <w:left w:val="single" w:sz="4" w:space="0" w:color="auto"/>
            </w:tcBorders>
          </w:tcPr>
          <w:p w:rsidR="009553E9" w:rsidRDefault="009553E9" w:rsidP="00F0096E">
            <w:pPr>
              <w:spacing w:line="360" w:lineRule="auto"/>
              <w:jc w:val="center"/>
              <w:cnfStyle w:val="000000000000"/>
              <w:rPr>
                <w:rFonts w:ascii="Arial" w:hAnsi="Arial" w:cs="Arial"/>
                <w:bCs/>
                <w:sz w:val="24"/>
                <w:szCs w:val="24"/>
              </w:rPr>
            </w:pPr>
            <w:r>
              <w:rPr>
                <w:rFonts w:ascii="Arial" w:hAnsi="Arial" w:cs="Arial"/>
                <w:bCs/>
                <w:sz w:val="24"/>
                <w:szCs w:val="24"/>
              </w:rPr>
              <w:t>79</w:t>
            </w:r>
          </w:p>
        </w:tc>
        <w:tc>
          <w:tcPr>
            <w:tcW w:w="236" w:type="dxa"/>
            <w:tcBorders>
              <w:right w:val="single" w:sz="4" w:space="0" w:color="auto"/>
            </w:tcBorders>
          </w:tcPr>
          <w:p w:rsidR="009553E9" w:rsidRDefault="009553E9" w:rsidP="006A5A9D">
            <w:pPr>
              <w:spacing w:line="360" w:lineRule="auto"/>
              <w:jc w:val="both"/>
              <w:cnfStyle w:val="000000000000"/>
              <w:rPr>
                <w:rFonts w:ascii="Arial" w:hAnsi="Arial" w:cs="Arial"/>
                <w:b/>
                <w:sz w:val="24"/>
                <w:szCs w:val="24"/>
              </w:rPr>
            </w:pPr>
          </w:p>
        </w:tc>
        <w:tc>
          <w:tcPr>
            <w:tcW w:w="2057" w:type="dxa"/>
            <w:tcBorders>
              <w:left w:val="single" w:sz="4" w:space="0" w:color="auto"/>
            </w:tcBorders>
          </w:tcPr>
          <w:p w:rsidR="009553E9" w:rsidRPr="00F0096E" w:rsidRDefault="009553E9" w:rsidP="00F0096E">
            <w:pPr>
              <w:spacing w:line="360" w:lineRule="auto"/>
              <w:jc w:val="center"/>
              <w:cnfStyle w:val="000000000000"/>
              <w:rPr>
                <w:rFonts w:ascii="Arial" w:hAnsi="Arial" w:cs="Arial"/>
                <w:sz w:val="24"/>
                <w:szCs w:val="24"/>
              </w:rPr>
            </w:pPr>
            <w:r>
              <w:rPr>
                <w:rFonts w:ascii="Arial" w:hAnsi="Arial" w:cs="Arial"/>
                <w:sz w:val="24"/>
                <w:szCs w:val="24"/>
              </w:rPr>
              <w:t>29</w:t>
            </w:r>
          </w:p>
        </w:tc>
        <w:tc>
          <w:tcPr>
            <w:tcW w:w="1701" w:type="dxa"/>
            <w:tcBorders>
              <w:left w:val="single" w:sz="4" w:space="0" w:color="auto"/>
            </w:tcBorders>
          </w:tcPr>
          <w:p w:rsidR="009553E9" w:rsidRPr="00F0096E" w:rsidRDefault="009553E9" w:rsidP="00F0096E">
            <w:pPr>
              <w:spacing w:line="360" w:lineRule="auto"/>
              <w:jc w:val="center"/>
              <w:cnfStyle w:val="000000000000"/>
              <w:rPr>
                <w:rFonts w:ascii="Arial" w:hAnsi="Arial" w:cs="Arial"/>
                <w:sz w:val="24"/>
                <w:szCs w:val="24"/>
              </w:rPr>
            </w:pPr>
            <w:r>
              <w:rPr>
                <w:rFonts w:ascii="Arial" w:hAnsi="Arial" w:cs="Arial"/>
                <w:sz w:val="24"/>
                <w:szCs w:val="24"/>
              </w:rPr>
              <w:t>50 (63,3%)</w:t>
            </w:r>
          </w:p>
        </w:tc>
        <w:tc>
          <w:tcPr>
            <w:tcW w:w="236" w:type="dxa"/>
            <w:vMerge/>
            <w:tcBorders>
              <w:left w:val="single" w:sz="4" w:space="0" w:color="auto"/>
            </w:tcBorders>
          </w:tcPr>
          <w:p w:rsidR="009553E9" w:rsidRDefault="009553E9" w:rsidP="006A5A9D">
            <w:pPr>
              <w:spacing w:line="360" w:lineRule="auto"/>
              <w:jc w:val="both"/>
              <w:cnfStyle w:val="000000000000"/>
              <w:rPr>
                <w:rFonts w:ascii="Arial" w:hAnsi="Arial" w:cs="Arial"/>
                <w:b/>
                <w:sz w:val="24"/>
                <w:szCs w:val="24"/>
              </w:rPr>
            </w:pPr>
          </w:p>
        </w:tc>
        <w:tc>
          <w:tcPr>
            <w:tcW w:w="1465" w:type="dxa"/>
            <w:vMerge/>
          </w:tcPr>
          <w:p w:rsidR="009553E9" w:rsidRDefault="009553E9" w:rsidP="006A5A9D">
            <w:pPr>
              <w:spacing w:line="360" w:lineRule="auto"/>
              <w:jc w:val="both"/>
              <w:cnfStyle w:val="000000000000"/>
              <w:rPr>
                <w:rFonts w:ascii="Arial" w:hAnsi="Arial" w:cs="Arial"/>
                <w:b/>
                <w:sz w:val="24"/>
                <w:szCs w:val="24"/>
              </w:rPr>
            </w:pPr>
          </w:p>
        </w:tc>
      </w:tr>
      <w:tr w:rsidR="009553E9" w:rsidTr="008E52A7">
        <w:trPr>
          <w:cnfStyle w:val="000000100000"/>
        </w:trPr>
        <w:tc>
          <w:tcPr>
            <w:cnfStyle w:val="001000000000"/>
            <w:tcW w:w="1247" w:type="dxa"/>
            <w:tcBorders>
              <w:right w:val="single" w:sz="4" w:space="0" w:color="auto"/>
            </w:tcBorders>
          </w:tcPr>
          <w:p w:rsidR="009553E9" w:rsidRDefault="009553E9" w:rsidP="006A5A9D">
            <w:pPr>
              <w:spacing w:line="360" w:lineRule="auto"/>
              <w:jc w:val="both"/>
              <w:rPr>
                <w:rFonts w:ascii="Arial" w:hAnsi="Arial" w:cs="Arial"/>
                <w:b w:val="0"/>
                <w:sz w:val="24"/>
                <w:szCs w:val="24"/>
              </w:rPr>
            </w:pPr>
            <w:r>
              <w:rPr>
                <w:rFonts w:ascii="Arial" w:hAnsi="Arial" w:cs="Arial"/>
                <w:b w:val="0"/>
                <w:sz w:val="24"/>
                <w:szCs w:val="24"/>
              </w:rPr>
              <w:t>Tertil 3</w:t>
            </w:r>
          </w:p>
        </w:tc>
        <w:tc>
          <w:tcPr>
            <w:tcW w:w="940" w:type="dxa"/>
            <w:tcBorders>
              <w:left w:val="single" w:sz="4" w:space="0" w:color="auto"/>
            </w:tcBorders>
          </w:tcPr>
          <w:p w:rsidR="009553E9" w:rsidRDefault="009553E9" w:rsidP="00F0096E">
            <w:pPr>
              <w:spacing w:line="360" w:lineRule="auto"/>
              <w:jc w:val="center"/>
              <w:cnfStyle w:val="000000100000"/>
              <w:rPr>
                <w:rFonts w:ascii="Arial" w:hAnsi="Arial" w:cs="Arial"/>
                <w:bCs/>
                <w:sz w:val="24"/>
                <w:szCs w:val="24"/>
              </w:rPr>
            </w:pPr>
            <w:r>
              <w:rPr>
                <w:rFonts w:ascii="Arial" w:hAnsi="Arial" w:cs="Arial"/>
                <w:bCs/>
                <w:sz w:val="24"/>
                <w:szCs w:val="24"/>
              </w:rPr>
              <w:t>80</w:t>
            </w:r>
          </w:p>
        </w:tc>
        <w:tc>
          <w:tcPr>
            <w:tcW w:w="236" w:type="dxa"/>
            <w:tcBorders>
              <w:right w:val="single" w:sz="4" w:space="0" w:color="auto"/>
            </w:tcBorders>
          </w:tcPr>
          <w:p w:rsidR="009553E9" w:rsidRDefault="009553E9" w:rsidP="006A5A9D">
            <w:pPr>
              <w:spacing w:line="360" w:lineRule="auto"/>
              <w:jc w:val="both"/>
              <w:cnfStyle w:val="000000100000"/>
              <w:rPr>
                <w:rFonts w:ascii="Arial" w:hAnsi="Arial" w:cs="Arial"/>
                <w:b/>
                <w:sz w:val="24"/>
                <w:szCs w:val="24"/>
              </w:rPr>
            </w:pPr>
          </w:p>
        </w:tc>
        <w:tc>
          <w:tcPr>
            <w:tcW w:w="2057" w:type="dxa"/>
            <w:tcBorders>
              <w:left w:val="single" w:sz="4" w:space="0" w:color="auto"/>
            </w:tcBorders>
          </w:tcPr>
          <w:p w:rsidR="009553E9" w:rsidRPr="00F0096E" w:rsidRDefault="009553E9" w:rsidP="00F0096E">
            <w:pPr>
              <w:spacing w:line="360" w:lineRule="auto"/>
              <w:jc w:val="center"/>
              <w:cnfStyle w:val="000000100000"/>
              <w:rPr>
                <w:rFonts w:ascii="Arial" w:hAnsi="Arial" w:cs="Arial"/>
                <w:sz w:val="24"/>
                <w:szCs w:val="24"/>
              </w:rPr>
            </w:pPr>
            <w:r>
              <w:rPr>
                <w:rFonts w:ascii="Arial" w:hAnsi="Arial" w:cs="Arial"/>
                <w:sz w:val="24"/>
                <w:szCs w:val="24"/>
              </w:rPr>
              <w:t>49</w:t>
            </w:r>
          </w:p>
        </w:tc>
        <w:tc>
          <w:tcPr>
            <w:tcW w:w="1701" w:type="dxa"/>
            <w:tcBorders>
              <w:left w:val="single" w:sz="4" w:space="0" w:color="auto"/>
            </w:tcBorders>
          </w:tcPr>
          <w:p w:rsidR="009553E9" w:rsidRPr="00F0096E" w:rsidRDefault="009553E9" w:rsidP="00F0096E">
            <w:pPr>
              <w:spacing w:line="360" w:lineRule="auto"/>
              <w:jc w:val="center"/>
              <w:cnfStyle w:val="000000100000"/>
              <w:rPr>
                <w:rFonts w:ascii="Arial" w:hAnsi="Arial" w:cs="Arial"/>
                <w:sz w:val="24"/>
                <w:szCs w:val="24"/>
              </w:rPr>
            </w:pPr>
            <w:r>
              <w:rPr>
                <w:rFonts w:ascii="Arial" w:hAnsi="Arial" w:cs="Arial"/>
                <w:sz w:val="24"/>
                <w:szCs w:val="24"/>
              </w:rPr>
              <w:t>31 (38,8%)</w:t>
            </w:r>
          </w:p>
        </w:tc>
        <w:tc>
          <w:tcPr>
            <w:tcW w:w="236" w:type="dxa"/>
            <w:vMerge/>
            <w:tcBorders>
              <w:left w:val="single" w:sz="4" w:space="0" w:color="auto"/>
            </w:tcBorders>
          </w:tcPr>
          <w:p w:rsidR="009553E9" w:rsidRDefault="009553E9" w:rsidP="006A5A9D">
            <w:pPr>
              <w:spacing w:line="360" w:lineRule="auto"/>
              <w:jc w:val="both"/>
              <w:cnfStyle w:val="000000100000"/>
              <w:rPr>
                <w:rFonts w:ascii="Arial" w:hAnsi="Arial" w:cs="Arial"/>
                <w:b/>
                <w:sz w:val="24"/>
                <w:szCs w:val="24"/>
              </w:rPr>
            </w:pPr>
          </w:p>
        </w:tc>
        <w:tc>
          <w:tcPr>
            <w:tcW w:w="1465" w:type="dxa"/>
            <w:vMerge/>
          </w:tcPr>
          <w:p w:rsidR="009553E9" w:rsidRDefault="009553E9" w:rsidP="006A5A9D">
            <w:pPr>
              <w:spacing w:line="360" w:lineRule="auto"/>
              <w:jc w:val="both"/>
              <w:cnfStyle w:val="000000100000"/>
              <w:rPr>
                <w:rFonts w:ascii="Arial" w:hAnsi="Arial" w:cs="Arial"/>
                <w:b/>
                <w:sz w:val="24"/>
                <w:szCs w:val="24"/>
              </w:rPr>
            </w:pPr>
          </w:p>
        </w:tc>
      </w:tr>
      <w:tr w:rsidR="009553E9" w:rsidTr="008E52A7">
        <w:trPr>
          <w:trHeight w:val="328"/>
        </w:trPr>
        <w:tc>
          <w:tcPr>
            <w:cnfStyle w:val="001000000000"/>
            <w:tcW w:w="1247" w:type="dxa"/>
            <w:tcBorders>
              <w:right w:val="single" w:sz="4" w:space="0" w:color="auto"/>
            </w:tcBorders>
          </w:tcPr>
          <w:p w:rsidR="009553E9" w:rsidRDefault="009553E9" w:rsidP="006A5A9D">
            <w:pPr>
              <w:spacing w:line="360" w:lineRule="auto"/>
              <w:jc w:val="both"/>
              <w:rPr>
                <w:rFonts w:ascii="Arial" w:hAnsi="Arial" w:cs="Arial"/>
                <w:b w:val="0"/>
                <w:sz w:val="24"/>
                <w:szCs w:val="24"/>
              </w:rPr>
            </w:pPr>
            <w:r>
              <w:rPr>
                <w:rFonts w:ascii="Arial" w:hAnsi="Arial" w:cs="Arial"/>
                <w:b w:val="0"/>
                <w:sz w:val="24"/>
                <w:szCs w:val="24"/>
              </w:rPr>
              <w:t>Global</w:t>
            </w:r>
          </w:p>
        </w:tc>
        <w:tc>
          <w:tcPr>
            <w:tcW w:w="940" w:type="dxa"/>
            <w:tcBorders>
              <w:left w:val="single" w:sz="4" w:space="0" w:color="auto"/>
            </w:tcBorders>
          </w:tcPr>
          <w:p w:rsidR="009553E9" w:rsidRDefault="009553E9" w:rsidP="00F0096E">
            <w:pPr>
              <w:spacing w:line="360" w:lineRule="auto"/>
              <w:jc w:val="center"/>
              <w:cnfStyle w:val="000000000000"/>
              <w:rPr>
                <w:rFonts w:ascii="Arial" w:hAnsi="Arial" w:cs="Arial"/>
                <w:bCs/>
                <w:sz w:val="24"/>
                <w:szCs w:val="24"/>
              </w:rPr>
            </w:pPr>
            <w:r>
              <w:rPr>
                <w:rFonts w:ascii="Arial" w:hAnsi="Arial" w:cs="Arial"/>
                <w:bCs/>
                <w:sz w:val="24"/>
                <w:szCs w:val="24"/>
              </w:rPr>
              <w:t>238</w:t>
            </w:r>
          </w:p>
        </w:tc>
        <w:tc>
          <w:tcPr>
            <w:tcW w:w="236" w:type="dxa"/>
            <w:tcBorders>
              <w:right w:val="single" w:sz="4" w:space="0" w:color="auto"/>
            </w:tcBorders>
          </w:tcPr>
          <w:p w:rsidR="009553E9" w:rsidRDefault="009553E9" w:rsidP="006A5A9D">
            <w:pPr>
              <w:spacing w:line="360" w:lineRule="auto"/>
              <w:jc w:val="both"/>
              <w:cnfStyle w:val="000000000000"/>
              <w:rPr>
                <w:rFonts w:ascii="Arial" w:hAnsi="Arial" w:cs="Arial"/>
                <w:b/>
                <w:sz w:val="24"/>
                <w:szCs w:val="24"/>
              </w:rPr>
            </w:pPr>
          </w:p>
        </w:tc>
        <w:tc>
          <w:tcPr>
            <w:tcW w:w="2057" w:type="dxa"/>
            <w:tcBorders>
              <w:left w:val="single" w:sz="4" w:space="0" w:color="auto"/>
            </w:tcBorders>
          </w:tcPr>
          <w:p w:rsidR="009553E9" w:rsidRPr="00F0096E" w:rsidRDefault="009553E9" w:rsidP="00F0096E">
            <w:pPr>
              <w:spacing w:line="360" w:lineRule="auto"/>
              <w:jc w:val="center"/>
              <w:cnfStyle w:val="000000000000"/>
              <w:rPr>
                <w:rFonts w:ascii="Arial" w:hAnsi="Arial" w:cs="Arial"/>
                <w:sz w:val="24"/>
                <w:szCs w:val="24"/>
              </w:rPr>
            </w:pPr>
            <w:r>
              <w:rPr>
                <w:rFonts w:ascii="Arial" w:hAnsi="Arial" w:cs="Arial"/>
                <w:sz w:val="24"/>
                <w:szCs w:val="24"/>
              </w:rPr>
              <w:t>92</w:t>
            </w:r>
          </w:p>
        </w:tc>
        <w:tc>
          <w:tcPr>
            <w:tcW w:w="1701" w:type="dxa"/>
            <w:tcBorders>
              <w:left w:val="single" w:sz="4" w:space="0" w:color="auto"/>
            </w:tcBorders>
          </w:tcPr>
          <w:p w:rsidR="009553E9" w:rsidRPr="00F0096E" w:rsidRDefault="009553E9" w:rsidP="00F0096E">
            <w:pPr>
              <w:spacing w:line="360" w:lineRule="auto"/>
              <w:jc w:val="center"/>
              <w:cnfStyle w:val="000000000000"/>
              <w:rPr>
                <w:rFonts w:ascii="Arial" w:hAnsi="Arial" w:cs="Arial"/>
                <w:sz w:val="24"/>
                <w:szCs w:val="24"/>
              </w:rPr>
            </w:pPr>
            <w:r>
              <w:rPr>
                <w:rFonts w:ascii="Arial" w:hAnsi="Arial" w:cs="Arial"/>
                <w:sz w:val="24"/>
                <w:szCs w:val="24"/>
              </w:rPr>
              <w:t>146 (61,3%)</w:t>
            </w:r>
          </w:p>
        </w:tc>
        <w:tc>
          <w:tcPr>
            <w:tcW w:w="236" w:type="dxa"/>
            <w:vMerge/>
            <w:tcBorders>
              <w:left w:val="single" w:sz="4" w:space="0" w:color="auto"/>
            </w:tcBorders>
          </w:tcPr>
          <w:p w:rsidR="009553E9" w:rsidRDefault="009553E9" w:rsidP="006A5A9D">
            <w:pPr>
              <w:spacing w:line="360" w:lineRule="auto"/>
              <w:jc w:val="both"/>
              <w:cnfStyle w:val="000000000000"/>
              <w:rPr>
                <w:rFonts w:ascii="Arial" w:hAnsi="Arial" w:cs="Arial"/>
                <w:b/>
                <w:sz w:val="24"/>
                <w:szCs w:val="24"/>
              </w:rPr>
            </w:pPr>
          </w:p>
        </w:tc>
        <w:tc>
          <w:tcPr>
            <w:tcW w:w="1465" w:type="dxa"/>
            <w:vMerge/>
          </w:tcPr>
          <w:p w:rsidR="009553E9" w:rsidRDefault="009553E9" w:rsidP="006A5A9D">
            <w:pPr>
              <w:spacing w:line="360" w:lineRule="auto"/>
              <w:jc w:val="both"/>
              <w:cnfStyle w:val="000000000000"/>
              <w:rPr>
                <w:rFonts w:ascii="Arial" w:hAnsi="Arial" w:cs="Arial"/>
                <w:b/>
                <w:sz w:val="24"/>
                <w:szCs w:val="24"/>
              </w:rPr>
            </w:pPr>
          </w:p>
        </w:tc>
      </w:tr>
    </w:tbl>
    <w:p w:rsidR="009553E9" w:rsidRDefault="009553E9" w:rsidP="006A5A9D">
      <w:pPr>
        <w:spacing w:line="360" w:lineRule="auto"/>
        <w:jc w:val="both"/>
        <w:rPr>
          <w:rFonts w:ascii="Arial" w:hAnsi="Arial" w:cs="Arial"/>
          <w:b/>
          <w:sz w:val="24"/>
          <w:szCs w:val="24"/>
        </w:rPr>
      </w:pPr>
      <w:r>
        <w:rPr>
          <w:rFonts w:ascii="Arial" w:hAnsi="Arial" w:cs="Arial"/>
          <w:b/>
          <w:sz w:val="24"/>
          <w:szCs w:val="24"/>
        </w:rPr>
        <w:t xml:space="preserve">         Fuente: </w:t>
      </w:r>
      <w:r w:rsidRPr="002B7118">
        <w:rPr>
          <w:rFonts w:ascii="Arial" w:hAnsi="Arial" w:cs="Arial"/>
          <w:sz w:val="24"/>
          <w:szCs w:val="24"/>
        </w:rPr>
        <w:t>Procesamiento estadístico</w:t>
      </w:r>
    </w:p>
    <w:p w:rsidR="00AD5AA8" w:rsidRDefault="00946EDA" w:rsidP="006A5A9D">
      <w:pPr>
        <w:spacing w:line="360" w:lineRule="auto"/>
        <w:jc w:val="both"/>
        <w:rPr>
          <w:rFonts w:ascii="Arial" w:hAnsi="Arial" w:cs="Arial"/>
          <w:sz w:val="24"/>
          <w:szCs w:val="24"/>
        </w:rPr>
      </w:pPr>
      <w:r>
        <w:rPr>
          <w:rFonts w:ascii="Arial" w:hAnsi="Arial" w:cs="Arial"/>
          <w:sz w:val="24"/>
          <w:szCs w:val="24"/>
        </w:rPr>
        <w:t xml:space="preserve">Durante la media de seguimiento 68,62±2,40 días, se registraron 92 muertes. La tasa de mortalidad fue de 38,66%, la cual se incrementó significativamente por tertiles del cociente urea/creatinina (p&lt;0,0001) y alcanzó el 61,25% en el tercer </w:t>
      </w:r>
      <w:r>
        <w:rPr>
          <w:rFonts w:ascii="Arial" w:hAnsi="Arial" w:cs="Arial"/>
          <w:sz w:val="24"/>
          <w:szCs w:val="24"/>
        </w:rPr>
        <w:lastRenderedPageBreak/>
        <w:t>tertil. La mediana del cociente entre los pacientes que sobrevivieron y fallecieron fue significativamente menor (24 vs.</w:t>
      </w:r>
      <w:r w:rsidR="00543ACA">
        <w:rPr>
          <w:rFonts w:ascii="Arial" w:hAnsi="Arial" w:cs="Arial"/>
          <w:sz w:val="24"/>
          <w:szCs w:val="24"/>
        </w:rPr>
        <w:t xml:space="preserve"> 35, respectivamente; p&lt;0,0001). </w:t>
      </w:r>
    </w:p>
    <w:p w:rsidR="00E80280" w:rsidRDefault="000D0B3C" w:rsidP="006A5A9D">
      <w:pPr>
        <w:spacing w:line="360" w:lineRule="auto"/>
        <w:jc w:val="both"/>
        <w:rPr>
          <w:rFonts w:ascii="Arial" w:hAnsi="Arial" w:cs="Arial"/>
          <w:sz w:val="24"/>
          <w:szCs w:val="24"/>
        </w:rPr>
      </w:pPr>
      <w:r>
        <w:rPr>
          <w:rFonts w:ascii="Arial" w:hAnsi="Arial" w:cs="Arial"/>
          <w:sz w:val="24"/>
          <w:szCs w:val="24"/>
        </w:rPr>
        <w:t>En las curvas de supervivencia de Kaplan-Meier</w:t>
      </w:r>
      <w:r w:rsidR="00543ACA">
        <w:rPr>
          <w:rFonts w:ascii="Arial" w:hAnsi="Arial" w:cs="Arial"/>
          <w:sz w:val="24"/>
          <w:szCs w:val="24"/>
        </w:rPr>
        <w:t xml:space="preserve"> (</w:t>
      </w:r>
      <w:r w:rsidR="00543ACA" w:rsidRPr="000D0B3C">
        <w:rPr>
          <w:rFonts w:ascii="Arial" w:hAnsi="Arial" w:cs="Arial"/>
          <w:b/>
          <w:sz w:val="24"/>
          <w:szCs w:val="24"/>
        </w:rPr>
        <w:t>gráfico 2</w:t>
      </w:r>
      <w:r w:rsidR="00543ACA">
        <w:rPr>
          <w:rFonts w:ascii="Arial" w:hAnsi="Arial" w:cs="Arial"/>
          <w:sz w:val="24"/>
          <w:szCs w:val="24"/>
        </w:rPr>
        <w:t xml:space="preserve">) </w:t>
      </w:r>
      <w:r>
        <w:rPr>
          <w:rFonts w:ascii="Arial" w:hAnsi="Arial" w:cs="Arial"/>
          <w:sz w:val="24"/>
          <w:szCs w:val="24"/>
        </w:rPr>
        <w:t xml:space="preserve"> se observa la separación de las curvas de los tres tertiles desde el comienzo del seguimiento, especialmente en los pacientes del tercer tertil de cociente urea/creatinina, incrementándose a medida que transcurre el tiempo; por lo que aquellos pacientes con mayor cociente urea/creatinina tuvieron menor supervivencia</w:t>
      </w:r>
      <w:r w:rsidR="00543ACA">
        <w:rPr>
          <w:rFonts w:ascii="Arial" w:hAnsi="Arial" w:cs="Arial"/>
          <w:sz w:val="24"/>
          <w:szCs w:val="24"/>
        </w:rPr>
        <w:t>.</w:t>
      </w:r>
    </w:p>
    <w:p w:rsidR="00543ACA" w:rsidRDefault="00543ACA" w:rsidP="00543ACA">
      <w:pPr>
        <w:spacing w:line="360" w:lineRule="auto"/>
        <w:jc w:val="both"/>
        <w:rPr>
          <w:rFonts w:ascii="Arial" w:hAnsi="Arial" w:cs="Arial"/>
          <w:b/>
          <w:sz w:val="24"/>
          <w:szCs w:val="24"/>
        </w:rPr>
      </w:pPr>
      <w:r w:rsidRPr="00A51109">
        <w:rPr>
          <w:rFonts w:ascii="Arial" w:hAnsi="Arial" w:cs="Arial"/>
          <w:b/>
          <w:sz w:val="24"/>
          <w:szCs w:val="24"/>
        </w:rPr>
        <w:t xml:space="preserve">Gráfico 3. </w:t>
      </w:r>
      <w:r w:rsidRPr="002B7118">
        <w:rPr>
          <w:rFonts w:ascii="Arial" w:hAnsi="Arial" w:cs="Arial"/>
          <w:sz w:val="24"/>
          <w:szCs w:val="24"/>
        </w:rPr>
        <w:t>Capacidad discriminatoria del cociente urea/creatinina como factor pronóstico de mortalidad.</w:t>
      </w:r>
    </w:p>
    <w:p w:rsidR="00543ACA" w:rsidRDefault="00543ACA" w:rsidP="00543ACA">
      <w:pPr>
        <w:spacing w:line="360" w:lineRule="auto"/>
        <w:jc w:val="both"/>
        <w:rPr>
          <w:rFonts w:ascii="Arial" w:hAnsi="Arial" w:cs="Arial"/>
          <w:b/>
          <w:sz w:val="24"/>
          <w:szCs w:val="24"/>
        </w:rPr>
      </w:pPr>
      <w:r>
        <w:rPr>
          <w:rFonts w:ascii="Arial" w:hAnsi="Arial" w:cs="Arial"/>
          <w:b/>
          <w:sz w:val="24"/>
          <w:szCs w:val="24"/>
        </w:rPr>
        <w:t xml:space="preserve">        </w:t>
      </w:r>
      <w:r w:rsidRPr="00543ACA">
        <w:rPr>
          <w:rFonts w:ascii="Arial" w:hAnsi="Arial" w:cs="Arial"/>
          <w:b/>
          <w:noProof/>
          <w:sz w:val="24"/>
          <w:szCs w:val="24"/>
          <w:lang w:val="en-US" w:eastAsia="en-US"/>
        </w:rPr>
        <w:drawing>
          <wp:inline distT="0" distB="0" distL="0" distR="0">
            <wp:extent cx="4406301" cy="3165894"/>
            <wp:effectExtent l="19050" t="0" r="0" b="0"/>
            <wp:docPr id="1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srcRect b="5897"/>
                    <a:stretch>
                      <a:fillRect/>
                    </a:stretch>
                  </pic:blipFill>
                  <pic:spPr bwMode="auto">
                    <a:xfrm>
                      <a:off x="0" y="0"/>
                      <a:ext cx="4406301" cy="3165894"/>
                    </a:xfrm>
                    <a:prstGeom prst="rect">
                      <a:avLst/>
                    </a:prstGeom>
                    <a:noFill/>
                    <a:ln w="9525">
                      <a:noFill/>
                      <a:miter lim="800000"/>
                      <a:headEnd/>
                      <a:tailEnd/>
                    </a:ln>
                  </pic:spPr>
                </pic:pic>
              </a:graphicData>
            </a:graphic>
          </wp:inline>
        </w:drawing>
      </w:r>
      <w:r w:rsidRPr="00543ACA">
        <w:rPr>
          <w:rFonts w:ascii="Arial" w:hAnsi="Arial" w:cs="Arial"/>
          <w:b/>
          <w:sz w:val="24"/>
          <w:szCs w:val="24"/>
        </w:rPr>
        <w:t xml:space="preserve"> </w:t>
      </w:r>
    </w:p>
    <w:p w:rsidR="00543ACA" w:rsidRDefault="00543ACA" w:rsidP="00543ACA">
      <w:pPr>
        <w:spacing w:line="360" w:lineRule="auto"/>
        <w:jc w:val="both"/>
        <w:rPr>
          <w:rFonts w:ascii="Arial" w:hAnsi="Arial" w:cs="Arial"/>
          <w:b/>
          <w:sz w:val="24"/>
          <w:szCs w:val="24"/>
        </w:rPr>
      </w:pPr>
      <w:r w:rsidRPr="002D18ED">
        <w:rPr>
          <w:rFonts w:ascii="Arial" w:hAnsi="Arial" w:cs="Arial"/>
          <w:b/>
          <w:sz w:val="24"/>
          <w:szCs w:val="24"/>
        </w:rPr>
        <w:t xml:space="preserve">Tabla </w:t>
      </w:r>
      <w:r>
        <w:rPr>
          <w:rFonts w:ascii="Arial" w:hAnsi="Arial" w:cs="Arial"/>
          <w:b/>
          <w:sz w:val="24"/>
          <w:szCs w:val="24"/>
        </w:rPr>
        <w:t>4</w:t>
      </w:r>
      <w:r w:rsidRPr="002D18ED">
        <w:rPr>
          <w:rFonts w:ascii="Arial" w:hAnsi="Arial" w:cs="Arial"/>
          <w:b/>
          <w:sz w:val="24"/>
          <w:szCs w:val="24"/>
        </w:rPr>
        <w:t xml:space="preserve">. </w:t>
      </w:r>
      <w:r w:rsidRPr="002B7118">
        <w:rPr>
          <w:rFonts w:ascii="Arial" w:hAnsi="Arial" w:cs="Arial"/>
          <w:sz w:val="24"/>
          <w:szCs w:val="24"/>
        </w:rPr>
        <w:t>Área bajo la curva del cociente urea/creatinina como factor pronóstico de mortalidad.</w:t>
      </w:r>
    </w:p>
    <w:tbl>
      <w:tblPr>
        <w:tblStyle w:val="Listaclara-nfasis5"/>
        <w:tblpPr w:leftFromText="141" w:rightFromText="141" w:vertAnchor="text" w:horzAnchor="margin" w:tblpXSpec="center" w:tblpY="38"/>
        <w:tblW w:w="9606" w:type="dxa"/>
        <w:tblLook w:val="04A0"/>
      </w:tblPr>
      <w:tblGrid>
        <w:gridCol w:w="2943"/>
        <w:gridCol w:w="993"/>
        <w:gridCol w:w="1275"/>
        <w:gridCol w:w="1710"/>
        <w:gridCol w:w="2685"/>
      </w:tblGrid>
      <w:tr w:rsidR="00543ACA" w:rsidTr="0022129A">
        <w:trPr>
          <w:cnfStyle w:val="100000000000"/>
          <w:trHeight w:val="1392"/>
        </w:trPr>
        <w:tc>
          <w:tcPr>
            <w:cnfStyle w:val="001000000000"/>
            <w:tcW w:w="2943" w:type="dxa"/>
          </w:tcPr>
          <w:p w:rsidR="00543ACA" w:rsidRDefault="00543ACA" w:rsidP="0022129A">
            <w:pPr>
              <w:spacing w:line="360" w:lineRule="auto"/>
              <w:jc w:val="both"/>
              <w:rPr>
                <w:rFonts w:ascii="Arial" w:hAnsi="Arial" w:cs="Arial"/>
                <w:sz w:val="24"/>
                <w:szCs w:val="24"/>
              </w:rPr>
            </w:pPr>
            <w:r>
              <w:rPr>
                <w:rFonts w:ascii="Arial" w:hAnsi="Arial" w:cs="Arial"/>
                <w:sz w:val="24"/>
                <w:szCs w:val="24"/>
              </w:rPr>
              <w:t xml:space="preserve">Variable                                 </w:t>
            </w:r>
          </w:p>
        </w:tc>
        <w:tc>
          <w:tcPr>
            <w:tcW w:w="993" w:type="dxa"/>
          </w:tcPr>
          <w:p w:rsidR="00543ACA" w:rsidRDefault="00543ACA" w:rsidP="0022129A">
            <w:pPr>
              <w:spacing w:line="360" w:lineRule="auto"/>
              <w:jc w:val="both"/>
              <w:cnfStyle w:val="100000000000"/>
              <w:rPr>
                <w:rFonts w:ascii="Arial" w:hAnsi="Arial" w:cs="Arial"/>
                <w:sz w:val="24"/>
                <w:szCs w:val="24"/>
              </w:rPr>
            </w:pPr>
            <w:r>
              <w:rPr>
                <w:rFonts w:ascii="Arial" w:hAnsi="Arial" w:cs="Arial"/>
                <w:sz w:val="24"/>
                <w:szCs w:val="24"/>
              </w:rPr>
              <w:t>Área</w:t>
            </w:r>
          </w:p>
        </w:tc>
        <w:tc>
          <w:tcPr>
            <w:tcW w:w="1275" w:type="dxa"/>
          </w:tcPr>
          <w:p w:rsidR="00543ACA" w:rsidRDefault="00543ACA" w:rsidP="0022129A">
            <w:pPr>
              <w:spacing w:line="360" w:lineRule="auto"/>
              <w:jc w:val="both"/>
              <w:cnfStyle w:val="100000000000"/>
              <w:rPr>
                <w:rFonts w:ascii="Arial" w:hAnsi="Arial" w:cs="Arial"/>
                <w:sz w:val="24"/>
                <w:szCs w:val="24"/>
              </w:rPr>
            </w:pPr>
            <w:r>
              <w:rPr>
                <w:rFonts w:ascii="Arial" w:hAnsi="Arial" w:cs="Arial"/>
                <w:sz w:val="24"/>
                <w:szCs w:val="24"/>
              </w:rPr>
              <w:t xml:space="preserve">   Error estándar</w:t>
            </w:r>
          </w:p>
        </w:tc>
        <w:tc>
          <w:tcPr>
            <w:tcW w:w="1710" w:type="dxa"/>
            <w:tcBorders>
              <w:right w:val="nil"/>
            </w:tcBorders>
          </w:tcPr>
          <w:p w:rsidR="00543ACA" w:rsidRDefault="00543ACA" w:rsidP="0022129A">
            <w:pPr>
              <w:spacing w:line="360" w:lineRule="auto"/>
              <w:cnfStyle w:val="100000000000"/>
              <w:rPr>
                <w:rFonts w:ascii="Arial" w:hAnsi="Arial" w:cs="Arial"/>
                <w:sz w:val="24"/>
                <w:szCs w:val="24"/>
              </w:rPr>
            </w:pPr>
            <w:r>
              <w:rPr>
                <w:rFonts w:ascii="Arial" w:hAnsi="Arial" w:cs="Arial"/>
                <w:sz w:val="24"/>
                <w:szCs w:val="24"/>
              </w:rPr>
              <w:t>Significación asintónica</w:t>
            </w:r>
          </w:p>
        </w:tc>
        <w:tc>
          <w:tcPr>
            <w:tcW w:w="2685" w:type="dxa"/>
            <w:tcBorders>
              <w:left w:val="nil"/>
            </w:tcBorders>
          </w:tcPr>
          <w:p w:rsidR="00543ACA" w:rsidRPr="008D617D" w:rsidRDefault="00543ACA" w:rsidP="0022129A">
            <w:pPr>
              <w:spacing w:line="360" w:lineRule="auto"/>
              <w:jc w:val="both"/>
              <w:cnfStyle w:val="100000000000"/>
              <w:rPr>
                <w:rFonts w:ascii="Arial" w:hAnsi="Arial" w:cs="Arial"/>
                <w:b w:val="0"/>
                <w:sz w:val="24"/>
                <w:szCs w:val="24"/>
              </w:rPr>
            </w:pPr>
            <w:r w:rsidRPr="008D617D">
              <w:rPr>
                <w:rFonts w:ascii="Arial" w:hAnsi="Arial" w:cs="Arial"/>
                <w:bCs w:val="0"/>
                <w:sz w:val="24"/>
                <w:szCs w:val="24"/>
              </w:rPr>
              <w:t>Intervalo de confianza de 95%</w:t>
            </w:r>
          </w:p>
          <w:p w:rsidR="00543ACA" w:rsidRDefault="00543ACA" w:rsidP="0022129A">
            <w:pPr>
              <w:jc w:val="both"/>
              <w:cnfStyle w:val="100000000000"/>
              <w:rPr>
                <w:rFonts w:ascii="Arial" w:hAnsi="Arial" w:cs="Arial"/>
                <w:bCs w:val="0"/>
                <w:sz w:val="24"/>
                <w:szCs w:val="24"/>
              </w:rPr>
            </w:pPr>
            <w:r>
              <w:rPr>
                <w:rFonts w:ascii="Arial" w:hAnsi="Arial" w:cs="Arial"/>
                <w:bCs w:val="0"/>
                <w:sz w:val="24"/>
                <w:szCs w:val="24"/>
              </w:rPr>
              <w:t xml:space="preserve">   Límite         </w:t>
            </w:r>
            <w:proofErr w:type="spellStart"/>
            <w:r>
              <w:rPr>
                <w:rFonts w:ascii="Arial" w:hAnsi="Arial" w:cs="Arial"/>
                <w:bCs w:val="0"/>
                <w:sz w:val="24"/>
                <w:szCs w:val="24"/>
              </w:rPr>
              <w:t>Límite</w:t>
            </w:r>
            <w:proofErr w:type="spellEnd"/>
          </w:p>
          <w:p w:rsidR="00543ACA" w:rsidRPr="008D617D" w:rsidRDefault="00543ACA" w:rsidP="0022129A">
            <w:pPr>
              <w:jc w:val="both"/>
              <w:cnfStyle w:val="100000000000"/>
              <w:rPr>
                <w:rFonts w:ascii="Arial" w:hAnsi="Arial" w:cs="Arial"/>
                <w:bCs w:val="0"/>
                <w:sz w:val="24"/>
                <w:szCs w:val="24"/>
              </w:rPr>
            </w:pPr>
            <w:r>
              <w:rPr>
                <w:rFonts w:ascii="Arial" w:hAnsi="Arial" w:cs="Arial"/>
                <w:bCs w:val="0"/>
                <w:sz w:val="24"/>
                <w:szCs w:val="24"/>
              </w:rPr>
              <w:t xml:space="preserve">  Inferior      superior</w:t>
            </w:r>
          </w:p>
        </w:tc>
      </w:tr>
      <w:tr w:rsidR="00543ACA" w:rsidTr="0022129A">
        <w:trPr>
          <w:cnfStyle w:val="000000100000"/>
          <w:trHeight w:val="554"/>
        </w:trPr>
        <w:tc>
          <w:tcPr>
            <w:cnfStyle w:val="001000000000"/>
            <w:tcW w:w="2943" w:type="dxa"/>
          </w:tcPr>
          <w:p w:rsidR="00543ACA" w:rsidRPr="008D617D" w:rsidRDefault="00543ACA" w:rsidP="0022129A">
            <w:pPr>
              <w:spacing w:line="360" w:lineRule="auto"/>
              <w:jc w:val="both"/>
              <w:rPr>
                <w:rFonts w:ascii="Arial" w:hAnsi="Arial" w:cs="Arial"/>
                <w:b w:val="0"/>
                <w:sz w:val="24"/>
                <w:szCs w:val="24"/>
              </w:rPr>
            </w:pPr>
            <w:r>
              <w:rPr>
                <w:rFonts w:ascii="Arial" w:hAnsi="Arial" w:cs="Arial"/>
                <w:b w:val="0"/>
                <w:sz w:val="24"/>
                <w:szCs w:val="24"/>
              </w:rPr>
              <w:t>Cociente urea/creatinina</w:t>
            </w:r>
          </w:p>
        </w:tc>
        <w:tc>
          <w:tcPr>
            <w:tcW w:w="993" w:type="dxa"/>
          </w:tcPr>
          <w:p w:rsidR="00543ACA" w:rsidRDefault="00543ACA" w:rsidP="0022129A">
            <w:pPr>
              <w:spacing w:line="360" w:lineRule="auto"/>
              <w:jc w:val="both"/>
              <w:cnfStyle w:val="000000100000"/>
              <w:rPr>
                <w:rFonts w:ascii="Arial" w:hAnsi="Arial" w:cs="Arial"/>
                <w:sz w:val="24"/>
                <w:szCs w:val="24"/>
              </w:rPr>
            </w:pPr>
            <w:r>
              <w:rPr>
                <w:rFonts w:ascii="Arial" w:hAnsi="Arial" w:cs="Arial"/>
                <w:sz w:val="24"/>
                <w:szCs w:val="24"/>
              </w:rPr>
              <w:t xml:space="preserve"> ,897</w:t>
            </w:r>
          </w:p>
        </w:tc>
        <w:tc>
          <w:tcPr>
            <w:tcW w:w="1275" w:type="dxa"/>
          </w:tcPr>
          <w:p w:rsidR="00543ACA" w:rsidRDefault="00543ACA" w:rsidP="0022129A">
            <w:pPr>
              <w:spacing w:line="360" w:lineRule="auto"/>
              <w:jc w:val="both"/>
              <w:cnfStyle w:val="000000100000"/>
              <w:rPr>
                <w:rFonts w:ascii="Arial" w:hAnsi="Arial" w:cs="Arial"/>
                <w:sz w:val="24"/>
                <w:szCs w:val="24"/>
              </w:rPr>
            </w:pPr>
            <w:r>
              <w:rPr>
                <w:rFonts w:ascii="Arial" w:hAnsi="Arial" w:cs="Arial"/>
                <w:sz w:val="24"/>
                <w:szCs w:val="24"/>
              </w:rPr>
              <w:t xml:space="preserve">   ,043</w:t>
            </w:r>
          </w:p>
        </w:tc>
        <w:tc>
          <w:tcPr>
            <w:tcW w:w="4395" w:type="dxa"/>
            <w:gridSpan w:val="2"/>
          </w:tcPr>
          <w:p w:rsidR="00543ACA" w:rsidRDefault="00543ACA" w:rsidP="0022129A">
            <w:pPr>
              <w:spacing w:line="360" w:lineRule="auto"/>
              <w:jc w:val="both"/>
              <w:cnfStyle w:val="000000100000"/>
              <w:rPr>
                <w:rFonts w:ascii="Arial" w:hAnsi="Arial" w:cs="Arial"/>
                <w:sz w:val="24"/>
                <w:szCs w:val="24"/>
              </w:rPr>
            </w:pPr>
            <w:r>
              <w:rPr>
                <w:rFonts w:ascii="Arial" w:hAnsi="Arial" w:cs="Arial"/>
                <w:sz w:val="24"/>
                <w:szCs w:val="24"/>
              </w:rPr>
              <w:t xml:space="preserve">    ,000                   ,812            ,982</w:t>
            </w:r>
          </w:p>
        </w:tc>
      </w:tr>
    </w:tbl>
    <w:p w:rsidR="00720DB4" w:rsidRDefault="00720DB4" w:rsidP="00720DB4">
      <w:pPr>
        <w:spacing w:line="360" w:lineRule="auto"/>
        <w:jc w:val="both"/>
        <w:rPr>
          <w:rFonts w:ascii="Arial" w:hAnsi="Arial" w:cs="Arial"/>
          <w:sz w:val="24"/>
          <w:szCs w:val="24"/>
        </w:rPr>
      </w:pPr>
      <w:r>
        <w:rPr>
          <w:rFonts w:ascii="Arial" w:hAnsi="Arial" w:cs="Arial"/>
          <w:sz w:val="24"/>
          <w:szCs w:val="24"/>
        </w:rPr>
        <w:lastRenderedPageBreak/>
        <w:t>Se aprecia que el valor correspondiente al área bajo la curva ROC está por encima de 0,70; por lo tanto se puede considerar que el cociente urea/creatinina tiene valor predictivo significativo (p&lt; 0.05). El poder discriminatorio del cociente urea/creatinina para predecir la mortalidad por injuria renal aguda prer</w:t>
      </w:r>
      <w:r w:rsidR="00E30FF4">
        <w:rPr>
          <w:rFonts w:ascii="Arial" w:hAnsi="Arial" w:cs="Arial"/>
          <w:sz w:val="24"/>
          <w:szCs w:val="24"/>
        </w:rPr>
        <w:t>r</w:t>
      </w:r>
      <w:r>
        <w:rPr>
          <w:rFonts w:ascii="Arial" w:hAnsi="Arial" w:cs="Arial"/>
          <w:sz w:val="24"/>
          <w:szCs w:val="24"/>
        </w:rPr>
        <w:t>enal fue muy bueno ya que el área bajo la curva ROC fue de 0,897 (IC 95%: 0,812-0,982; p&lt;0,001).</w:t>
      </w:r>
    </w:p>
    <w:p w:rsidR="00223FBD" w:rsidRDefault="00223FBD" w:rsidP="00223FBD">
      <w:pPr>
        <w:spacing w:line="360" w:lineRule="auto"/>
        <w:jc w:val="both"/>
        <w:rPr>
          <w:rFonts w:ascii="Arial" w:hAnsi="Arial" w:cs="Arial"/>
          <w:b/>
          <w:sz w:val="24"/>
          <w:szCs w:val="24"/>
        </w:rPr>
      </w:pPr>
      <w:r w:rsidRPr="00F32CD8">
        <w:rPr>
          <w:rFonts w:ascii="Arial" w:hAnsi="Arial" w:cs="Arial"/>
          <w:b/>
          <w:sz w:val="24"/>
          <w:szCs w:val="24"/>
        </w:rPr>
        <w:t xml:space="preserve">Tabla </w:t>
      </w:r>
      <w:r>
        <w:rPr>
          <w:rFonts w:ascii="Arial" w:hAnsi="Arial" w:cs="Arial"/>
          <w:b/>
          <w:sz w:val="24"/>
          <w:szCs w:val="24"/>
        </w:rPr>
        <w:t>5</w:t>
      </w:r>
      <w:r w:rsidRPr="00F32CD8">
        <w:rPr>
          <w:rFonts w:ascii="Arial" w:hAnsi="Arial" w:cs="Arial"/>
          <w:b/>
          <w:sz w:val="24"/>
          <w:szCs w:val="24"/>
        </w:rPr>
        <w:t xml:space="preserve">. </w:t>
      </w:r>
      <w:r w:rsidRPr="002B7118">
        <w:rPr>
          <w:rFonts w:ascii="Arial" w:hAnsi="Arial" w:cs="Arial"/>
          <w:sz w:val="24"/>
          <w:szCs w:val="24"/>
        </w:rPr>
        <w:t>Punto de corte óptimo del cociente urea/creatinina para predecir mortalidad.</w:t>
      </w:r>
    </w:p>
    <w:tbl>
      <w:tblPr>
        <w:tblStyle w:val="Listaclara-nfasis5"/>
        <w:tblW w:w="8897" w:type="dxa"/>
        <w:tblLayout w:type="fixed"/>
        <w:tblLook w:val="04A0"/>
      </w:tblPr>
      <w:tblGrid>
        <w:gridCol w:w="1489"/>
        <w:gridCol w:w="1738"/>
        <w:gridCol w:w="1701"/>
        <w:gridCol w:w="1984"/>
        <w:gridCol w:w="1985"/>
      </w:tblGrid>
      <w:tr w:rsidR="00223FBD" w:rsidTr="000E6349">
        <w:trPr>
          <w:cnfStyle w:val="100000000000"/>
        </w:trPr>
        <w:tc>
          <w:tcPr>
            <w:cnfStyle w:val="001000000000"/>
            <w:tcW w:w="1489" w:type="dxa"/>
            <w:tcBorders>
              <w:right w:val="single" w:sz="4" w:space="0" w:color="auto"/>
            </w:tcBorders>
          </w:tcPr>
          <w:p w:rsidR="00223FBD" w:rsidRDefault="00223FBD" w:rsidP="00223FBD">
            <w:pPr>
              <w:spacing w:line="360" w:lineRule="auto"/>
              <w:jc w:val="both"/>
              <w:rPr>
                <w:rFonts w:ascii="Arial" w:hAnsi="Arial" w:cs="Arial"/>
                <w:b w:val="0"/>
                <w:sz w:val="24"/>
                <w:szCs w:val="24"/>
              </w:rPr>
            </w:pPr>
            <w:r>
              <w:rPr>
                <w:rFonts w:ascii="Arial" w:hAnsi="Arial" w:cs="Arial"/>
                <w:b w:val="0"/>
                <w:sz w:val="24"/>
                <w:szCs w:val="24"/>
              </w:rPr>
              <w:t>Punto de corte</w:t>
            </w:r>
          </w:p>
        </w:tc>
        <w:tc>
          <w:tcPr>
            <w:tcW w:w="1738" w:type="dxa"/>
            <w:tcBorders>
              <w:left w:val="single" w:sz="4" w:space="0" w:color="auto"/>
            </w:tcBorders>
          </w:tcPr>
          <w:p w:rsidR="00223FBD" w:rsidRDefault="00223FBD" w:rsidP="00223FBD">
            <w:pPr>
              <w:spacing w:line="360" w:lineRule="auto"/>
              <w:jc w:val="both"/>
              <w:cnfStyle w:val="100000000000"/>
              <w:rPr>
                <w:rFonts w:ascii="Arial" w:hAnsi="Arial" w:cs="Arial"/>
                <w:b w:val="0"/>
                <w:sz w:val="24"/>
                <w:szCs w:val="24"/>
              </w:rPr>
            </w:pPr>
            <w:r>
              <w:rPr>
                <w:rFonts w:ascii="Arial" w:hAnsi="Arial" w:cs="Arial"/>
                <w:b w:val="0"/>
                <w:sz w:val="24"/>
                <w:szCs w:val="24"/>
              </w:rPr>
              <w:t>Sensibilidad</w:t>
            </w:r>
          </w:p>
        </w:tc>
        <w:tc>
          <w:tcPr>
            <w:tcW w:w="1701" w:type="dxa"/>
            <w:tcBorders>
              <w:left w:val="single" w:sz="4" w:space="0" w:color="auto"/>
              <w:right w:val="single" w:sz="4" w:space="0" w:color="auto"/>
            </w:tcBorders>
          </w:tcPr>
          <w:p w:rsidR="00223FBD" w:rsidRPr="00223FBD" w:rsidRDefault="00223FBD" w:rsidP="00223FBD">
            <w:pPr>
              <w:spacing w:line="360" w:lineRule="auto"/>
              <w:jc w:val="both"/>
              <w:cnfStyle w:val="100000000000"/>
              <w:rPr>
                <w:rFonts w:ascii="Arial" w:hAnsi="Arial" w:cs="Arial"/>
                <w:b w:val="0"/>
                <w:bCs w:val="0"/>
                <w:sz w:val="24"/>
                <w:szCs w:val="24"/>
              </w:rPr>
            </w:pPr>
            <w:r w:rsidRPr="00223FBD">
              <w:rPr>
                <w:rFonts w:ascii="Arial" w:hAnsi="Arial" w:cs="Arial"/>
                <w:b w:val="0"/>
                <w:bCs w:val="0"/>
                <w:sz w:val="24"/>
                <w:szCs w:val="24"/>
              </w:rPr>
              <w:t>Especificidad</w:t>
            </w:r>
          </w:p>
        </w:tc>
        <w:tc>
          <w:tcPr>
            <w:tcW w:w="1984" w:type="dxa"/>
            <w:tcBorders>
              <w:left w:val="single" w:sz="4" w:space="0" w:color="auto"/>
            </w:tcBorders>
          </w:tcPr>
          <w:p w:rsidR="00223FBD" w:rsidRPr="00223FBD" w:rsidRDefault="00223FBD" w:rsidP="00223FBD">
            <w:pPr>
              <w:spacing w:line="360" w:lineRule="auto"/>
              <w:jc w:val="both"/>
              <w:cnfStyle w:val="100000000000"/>
              <w:rPr>
                <w:rFonts w:ascii="Arial" w:hAnsi="Arial" w:cs="Arial"/>
                <w:b w:val="0"/>
                <w:sz w:val="24"/>
                <w:szCs w:val="24"/>
              </w:rPr>
            </w:pPr>
            <w:r>
              <w:rPr>
                <w:rFonts w:ascii="Arial" w:hAnsi="Arial" w:cs="Arial"/>
                <w:b w:val="0"/>
                <w:sz w:val="24"/>
                <w:szCs w:val="24"/>
              </w:rPr>
              <w:t>Valor predictivo positivo</w:t>
            </w:r>
          </w:p>
        </w:tc>
        <w:tc>
          <w:tcPr>
            <w:tcW w:w="1985" w:type="dxa"/>
            <w:tcBorders>
              <w:left w:val="single" w:sz="4" w:space="0" w:color="auto"/>
            </w:tcBorders>
          </w:tcPr>
          <w:p w:rsidR="00223FBD" w:rsidRPr="00223FBD" w:rsidRDefault="00223FBD" w:rsidP="00223FBD">
            <w:pPr>
              <w:spacing w:line="360" w:lineRule="auto"/>
              <w:jc w:val="both"/>
              <w:cnfStyle w:val="100000000000"/>
              <w:rPr>
                <w:rFonts w:ascii="Arial" w:hAnsi="Arial" w:cs="Arial"/>
                <w:b w:val="0"/>
                <w:bCs w:val="0"/>
                <w:sz w:val="24"/>
                <w:szCs w:val="24"/>
              </w:rPr>
            </w:pPr>
            <w:r w:rsidRPr="00223FBD">
              <w:rPr>
                <w:rFonts w:ascii="Arial" w:hAnsi="Arial" w:cs="Arial"/>
                <w:b w:val="0"/>
                <w:bCs w:val="0"/>
                <w:sz w:val="24"/>
                <w:szCs w:val="24"/>
              </w:rPr>
              <w:t xml:space="preserve">Valor </w:t>
            </w:r>
            <w:r>
              <w:rPr>
                <w:rFonts w:ascii="Arial" w:hAnsi="Arial" w:cs="Arial"/>
                <w:b w:val="0"/>
                <w:bCs w:val="0"/>
                <w:sz w:val="24"/>
                <w:szCs w:val="24"/>
              </w:rPr>
              <w:t>predictivo negativo</w:t>
            </w:r>
          </w:p>
        </w:tc>
      </w:tr>
      <w:tr w:rsidR="00223FBD" w:rsidTr="000E6349">
        <w:trPr>
          <w:cnfStyle w:val="000000100000"/>
        </w:trPr>
        <w:tc>
          <w:tcPr>
            <w:cnfStyle w:val="001000000000"/>
            <w:tcW w:w="1489" w:type="dxa"/>
            <w:tcBorders>
              <w:right w:val="single" w:sz="4" w:space="0" w:color="auto"/>
            </w:tcBorders>
          </w:tcPr>
          <w:p w:rsidR="00223FBD" w:rsidRDefault="00223FBD" w:rsidP="00223FBD">
            <w:pPr>
              <w:spacing w:line="360" w:lineRule="auto"/>
              <w:jc w:val="center"/>
              <w:rPr>
                <w:rFonts w:ascii="Arial" w:hAnsi="Arial" w:cs="Arial"/>
                <w:b w:val="0"/>
                <w:sz w:val="24"/>
                <w:szCs w:val="24"/>
              </w:rPr>
            </w:pPr>
            <w:r>
              <w:rPr>
                <w:rFonts w:ascii="Arial" w:hAnsi="Arial" w:cs="Arial"/>
                <w:b w:val="0"/>
                <w:sz w:val="24"/>
                <w:szCs w:val="24"/>
              </w:rPr>
              <w:t>36,5</w:t>
            </w:r>
          </w:p>
        </w:tc>
        <w:tc>
          <w:tcPr>
            <w:tcW w:w="1738" w:type="dxa"/>
            <w:tcBorders>
              <w:left w:val="single" w:sz="4" w:space="0" w:color="auto"/>
            </w:tcBorders>
          </w:tcPr>
          <w:p w:rsidR="000E6349" w:rsidRDefault="000E6349" w:rsidP="00223FBD">
            <w:pPr>
              <w:spacing w:line="360" w:lineRule="auto"/>
              <w:jc w:val="center"/>
              <w:cnfStyle w:val="000000100000"/>
              <w:rPr>
                <w:rFonts w:ascii="Arial" w:hAnsi="Arial" w:cs="Arial"/>
                <w:sz w:val="24"/>
                <w:szCs w:val="24"/>
              </w:rPr>
            </w:pPr>
            <w:r>
              <w:rPr>
                <w:rFonts w:ascii="Arial" w:hAnsi="Arial" w:cs="Arial"/>
                <w:sz w:val="24"/>
                <w:szCs w:val="24"/>
              </w:rPr>
              <w:t xml:space="preserve">85,00 </w:t>
            </w:r>
          </w:p>
          <w:p w:rsidR="00223FBD" w:rsidRPr="00223FBD" w:rsidRDefault="000E6349" w:rsidP="00223FBD">
            <w:pPr>
              <w:spacing w:line="360" w:lineRule="auto"/>
              <w:jc w:val="center"/>
              <w:cnfStyle w:val="000000100000"/>
              <w:rPr>
                <w:rFonts w:ascii="Arial" w:hAnsi="Arial" w:cs="Arial"/>
                <w:sz w:val="24"/>
                <w:szCs w:val="24"/>
              </w:rPr>
            </w:pPr>
            <w:r>
              <w:rPr>
                <w:rFonts w:ascii="Arial" w:hAnsi="Arial" w:cs="Arial"/>
                <w:sz w:val="24"/>
                <w:szCs w:val="24"/>
              </w:rPr>
              <w:t>(77,19-90,56)</w:t>
            </w:r>
          </w:p>
        </w:tc>
        <w:tc>
          <w:tcPr>
            <w:tcW w:w="1701" w:type="dxa"/>
            <w:tcBorders>
              <w:left w:val="single" w:sz="4" w:space="0" w:color="auto"/>
              <w:right w:val="single" w:sz="4" w:space="0" w:color="auto"/>
            </w:tcBorders>
          </w:tcPr>
          <w:p w:rsidR="00223FBD" w:rsidRDefault="000E6349" w:rsidP="00223FBD">
            <w:pPr>
              <w:spacing w:line="360" w:lineRule="auto"/>
              <w:jc w:val="center"/>
              <w:cnfStyle w:val="000000100000"/>
              <w:rPr>
                <w:rFonts w:ascii="Arial" w:hAnsi="Arial" w:cs="Arial"/>
                <w:sz w:val="24"/>
                <w:szCs w:val="24"/>
              </w:rPr>
            </w:pPr>
            <w:r>
              <w:rPr>
                <w:rFonts w:ascii="Arial" w:hAnsi="Arial" w:cs="Arial"/>
                <w:sz w:val="24"/>
                <w:szCs w:val="24"/>
              </w:rPr>
              <w:t>94,94</w:t>
            </w:r>
          </w:p>
          <w:p w:rsidR="000E6349" w:rsidRPr="00223FBD" w:rsidRDefault="000E6349" w:rsidP="00223FBD">
            <w:pPr>
              <w:spacing w:line="360" w:lineRule="auto"/>
              <w:jc w:val="center"/>
              <w:cnfStyle w:val="000000100000"/>
              <w:rPr>
                <w:rFonts w:ascii="Arial" w:hAnsi="Arial" w:cs="Arial"/>
                <w:sz w:val="24"/>
                <w:szCs w:val="24"/>
              </w:rPr>
            </w:pPr>
            <w:r>
              <w:rPr>
                <w:rFonts w:ascii="Arial" w:hAnsi="Arial" w:cs="Arial"/>
                <w:sz w:val="24"/>
                <w:szCs w:val="24"/>
              </w:rPr>
              <w:t>(91,25-98,00)</w:t>
            </w:r>
          </w:p>
        </w:tc>
        <w:tc>
          <w:tcPr>
            <w:tcW w:w="1984" w:type="dxa"/>
            <w:tcBorders>
              <w:left w:val="single" w:sz="4" w:space="0" w:color="auto"/>
            </w:tcBorders>
          </w:tcPr>
          <w:p w:rsidR="00223FBD" w:rsidRDefault="000E6349" w:rsidP="00223FBD">
            <w:pPr>
              <w:spacing w:line="360" w:lineRule="auto"/>
              <w:jc w:val="center"/>
              <w:cnfStyle w:val="000000100000"/>
              <w:rPr>
                <w:rFonts w:ascii="Arial" w:hAnsi="Arial" w:cs="Arial"/>
                <w:sz w:val="24"/>
                <w:szCs w:val="24"/>
              </w:rPr>
            </w:pPr>
            <w:r>
              <w:rPr>
                <w:rFonts w:ascii="Arial" w:hAnsi="Arial" w:cs="Arial"/>
                <w:sz w:val="24"/>
                <w:szCs w:val="24"/>
              </w:rPr>
              <w:t>89,47</w:t>
            </w:r>
          </w:p>
          <w:p w:rsidR="000E6349" w:rsidRPr="00223FBD" w:rsidRDefault="000E6349" w:rsidP="00223FBD">
            <w:pPr>
              <w:spacing w:line="360" w:lineRule="auto"/>
              <w:jc w:val="center"/>
              <w:cnfStyle w:val="000000100000"/>
              <w:rPr>
                <w:rFonts w:ascii="Arial" w:hAnsi="Arial" w:cs="Arial"/>
                <w:sz w:val="24"/>
                <w:szCs w:val="24"/>
              </w:rPr>
            </w:pPr>
            <w:r>
              <w:rPr>
                <w:rFonts w:ascii="Arial" w:hAnsi="Arial" w:cs="Arial"/>
                <w:sz w:val="24"/>
                <w:szCs w:val="24"/>
              </w:rPr>
              <w:t>(87,80-94,14)</w:t>
            </w:r>
          </w:p>
        </w:tc>
        <w:tc>
          <w:tcPr>
            <w:tcW w:w="1985" w:type="dxa"/>
            <w:tcBorders>
              <w:left w:val="single" w:sz="4" w:space="0" w:color="auto"/>
            </w:tcBorders>
          </w:tcPr>
          <w:p w:rsidR="00223FBD" w:rsidRDefault="000E6349" w:rsidP="00223FBD">
            <w:pPr>
              <w:spacing w:line="360" w:lineRule="auto"/>
              <w:jc w:val="center"/>
              <w:cnfStyle w:val="000000100000"/>
              <w:rPr>
                <w:rFonts w:ascii="Arial" w:hAnsi="Arial" w:cs="Arial"/>
                <w:sz w:val="24"/>
                <w:szCs w:val="24"/>
              </w:rPr>
            </w:pPr>
            <w:r>
              <w:rPr>
                <w:rFonts w:ascii="Arial" w:hAnsi="Arial" w:cs="Arial"/>
                <w:sz w:val="24"/>
                <w:szCs w:val="24"/>
              </w:rPr>
              <w:t>92,59</w:t>
            </w:r>
          </w:p>
          <w:p w:rsidR="000E6349" w:rsidRPr="00223FBD" w:rsidRDefault="000E6349" w:rsidP="00223FBD">
            <w:pPr>
              <w:spacing w:line="360" w:lineRule="auto"/>
              <w:jc w:val="center"/>
              <w:cnfStyle w:val="000000100000"/>
              <w:rPr>
                <w:rFonts w:ascii="Arial" w:hAnsi="Arial" w:cs="Arial"/>
                <w:sz w:val="24"/>
                <w:szCs w:val="24"/>
              </w:rPr>
            </w:pPr>
            <w:r>
              <w:rPr>
                <w:rFonts w:ascii="Arial" w:hAnsi="Arial" w:cs="Arial"/>
                <w:sz w:val="24"/>
                <w:szCs w:val="24"/>
              </w:rPr>
              <w:t>(88,67-97,19)</w:t>
            </w:r>
          </w:p>
        </w:tc>
      </w:tr>
    </w:tbl>
    <w:p w:rsidR="009902EE" w:rsidRDefault="009902EE" w:rsidP="000E6349">
      <w:pPr>
        <w:spacing w:line="240" w:lineRule="auto"/>
        <w:jc w:val="both"/>
        <w:rPr>
          <w:rFonts w:ascii="Arial" w:hAnsi="Arial" w:cs="Arial"/>
          <w:sz w:val="24"/>
          <w:szCs w:val="24"/>
        </w:rPr>
      </w:pPr>
    </w:p>
    <w:p w:rsidR="000E6349" w:rsidRDefault="000E6349" w:rsidP="000E6349">
      <w:pPr>
        <w:spacing w:line="240" w:lineRule="auto"/>
        <w:jc w:val="both"/>
        <w:rPr>
          <w:rFonts w:ascii="Arial" w:hAnsi="Arial" w:cs="Arial"/>
          <w:sz w:val="24"/>
          <w:szCs w:val="24"/>
        </w:rPr>
      </w:pPr>
      <w:r w:rsidRPr="000E6349">
        <w:rPr>
          <w:rFonts w:ascii="Arial" w:hAnsi="Arial" w:cs="Arial"/>
          <w:sz w:val="24"/>
          <w:szCs w:val="24"/>
        </w:rPr>
        <w:t xml:space="preserve">Verdaderos positivos: </w:t>
      </w:r>
      <w:r>
        <w:rPr>
          <w:rFonts w:ascii="Arial" w:hAnsi="Arial" w:cs="Arial"/>
          <w:sz w:val="24"/>
          <w:szCs w:val="24"/>
        </w:rPr>
        <w:t>68 pacientes               Falsos positivos: 8 pacientes</w:t>
      </w:r>
    </w:p>
    <w:p w:rsidR="00A12BC6" w:rsidRDefault="000E6349" w:rsidP="00A12BC6">
      <w:pPr>
        <w:spacing w:line="360" w:lineRule="auto"/>
        <w:jc w:val="both"/>
        <w:rPr>
          <w:rFonts w:ascii="Arial" w:hAnsi="Arial" w:cs="Arial"/>
          <w:sz w:val="24"/>
          <w:szCs w:val="24"/>
        </w:rPr>
      </w:pPr>
      <w:r>
        <w:rPr>
          <w:rFonts w:ascii="Arial" w:hAnsi="Arial" w:cs="Arial"/>
          <w:sz w:val="24"/>
          <w:szCs w:val="24"/>
        </w:rPr>
        <w:t>Falsos negativos: 12 pacientes                      Verdaderos negativos: 150 pacientes</w:t>
      </w:r>
    </w:p>
    <w:p w:rsidR="00A12BC6" w:rsidRDefault="00A12BC6" w:rsidP="00A12BC6">
      <w:pPr>
        <w:spacing w:line="360" w:lineRule="auto"/>
        <w:jc w:val="both"/>
        <w:rPr>
          <w:rFonts w:ascii="Arial" w:hAnsi="Arial" w:cs="Arial"/>
          <w:sz w:val="24"/>
          <w:szCs w:val="24"/>
        </w:rPr>
      </w:pPr>
      <w:r>
        <w:rPr>
          <w:rFonts w:ascii="Arial" w:hAnsi="Arial" w:cs="Arial"/>
          <w:sz w:val="24"/>
          <w:szCs w:val="24"/>
        </w:rPr>
        <w:t xml:space="preserve">El valor de corte óptimo del cociente urea/creatinina para predecir mortalidad fue de 36,5; con una sensibilidad de 85% y especificidad de 94,94%. </w:t>
      </w:r>
      <w:r w:rsidRPr="00A12BC6">
        <w:rPr>
          <w:rFonts w:ascii="Arial" w:hAnsi="Arial" w:cs="Arial"/>
          <w:sz w:val="24"/>
          <w:szCs w:val="24"/>
        </w:rPr>
        <w:t>Con este punto de corte óptimo, se hace dicotómico el resultado del cociente urea/creatinina</w:t>
      </w:r>
      <w:r>
        <w:rPr>
          <w:rFonts w:ascii="Arial" w:hAnsi="Arial" w:cs="Arial"/>
          <w:sz w:val="24"/>
          <w:szCs w:val="24"/>
        </w:rPr>
        <w:t>,</w:t>
      </w:r>
      <w:r w:rsidRPr="00A12BC6">
        <w:rPr>
          <w:rFonts w:ascii="Arial" w:hAnsi="Arial" w:cs="Arial"/>
          <w:sz w:val="24"/>
          <w:szCs w:val="24"/>
        </w:rPr>
        <w:t xml:space="preserve"> de </w:t>
      </w:r>
      <w:r>
        <w:rPr>
          <w:rFonts w:ascii="Arial" w:hAnsi="Arial" w:cs="Arial"/>
          <w:sz w:val="24"/>
          <w:szCs w:val="24"/>
        </w:rPr>
        <w:t>forma</w:t>
      </w:r>
      <w:r w:rsidRPr="00A12BC6">
        <w:rPr>
          <w:rFonts w:ascii="Arial" w:hAnsi="Arial" w:cs="Arial"/>
          <w:sz w:val="24"/>
          <w:szCs w:val="24"/>
        </w:rPr>
        <w:t xml:space="preserve"> tal que la regla de decisión para la predicción o pronóstico de muerte a corto plazo en pacientes con injuria renal aguda prer</w:t>
      </w:r>
      <w:r w:rsidR="00E30FF4">
        <w:rPr>
          <w:rFonts w:ascii="Arial" w:hAnsi="Arial" w:cs="Arial"/>
          <w:sz w:val="24"/>
          <w:szCs w:val="24"/>
        </w:rPr>
        <w:t>r</w:t>
      </w:r>
      <w:r w:rsidRPr="00A12BC6">
        <w:rPr>
          <w:rFonts w:ascii="Arial" w:hAnsi="Arial" w:cs="Arial"/>
          <w:sz w:val="24"/>
          <w:szCs w:val="24"/>
        </w:rPr>
        <w:t>enal se define como:</w:t>
      </w:r>
    </w:p>
    <w:p w:rsidR="00A12BC6" w:rsidRDefault="00A12BC6" w:rsidP="00A12BC6">
      <w:pPr>
        <w:pStyle w:val="Prrafodelista"/>
        <w:numPr>
          <w:ilvl w:val="0"/>
          <w:numId w:val="12"/>
        </w:numPr>
        <w:spacing w:line="360" w:lineRule="auto"/>
        <w:jc w:val="both"/>
        <w:rPr>
          <w:rFonts w:ascii="Arial" w:hAnsi="Arial" w:cs="Arial"/>
          <w:sz w:val="24"/>
          <w:szCs w:val="24"/>
        </w:rPr>
      </w:pPr>
      <w:r w:rsidRPr="00A12BC6">
        <w:rPr>
          <w:rFonts w:ascii="Arial" w:hAnsi="Arial" w:cs="Arial"/>
          <w:sz w:val="24"/>
          <w:szCs w:val="24"/>
        </w:rPr>
        <w:t>Resultado positivo (pronóstico de muerte) Si el valor del c</w:t>
      </w:r>
      <w:r w:rsidR="00650778">
        <w:rPr>
          <w:rFonts w:ascii="Arial" w:hAnsi="Arial" w:cs="Arial"/>
          <w:sz w:val="24"/>
          <w:szCs w:val="24"/>
        </w:rPr>
        <w:t>ociente urea/creatinina es ≥ 36,</w:t>
      </w:r>
      <w:r w:rsidRPr="00A12BC6">
        <w:rPr>
          <w:rFonts w:ascii="Arial" w:hAnsi="Arial" w:cs="Arial"/>
          <w:sz w:val="24"/>
          <w:szCs w:val="24"/>
        </w:rPr>
        <w:t xml:space="preserve">5 </w:t>
      </w:r>
    </w:p>
    <w:p w:rsidR="00A12BC6" w:rsidRDefault="00A12BC6" w:rsidP="00A12BC6">
      <w:pPr>
        <w:pStyle w:val="Prrafodelista"/>
        <w:numPr>
          <w:ilvl w:val="0"/>
          <w:numId w:val="12"/>
        </w:numPr>
        <w:spacing w:line="360" w:lineRule="auto"/>
        <w:jc w:val="both"/>
        <w:rPr>
          <w:rFonts w:ascii="Arial" w:hAnsi="Arial" w:cs="Arial"/>
          <w:sz w:val="24"/>
          <w:szCs w:val="24"/>
        </w:rPr>
      </w:pPr>
      <w:r w:rsidRPr="00A12BC6">
        <w:rPr>
          <w:rFonts w:ascii="Arial" w:hAnsi="Arial" w:cs="Arial"/>
          <w:sz w:val="24"/>
          <w:szCs w:val="24"/>
        </w:rPr>
        <w:t>Resultado negativo (pronóstico de sobrevida) Si el valor del c</w:t>
      </w:r>
      <w:r w:rsidR="00650778">
        <w:rPr>
          <w:rFonts w:ascii="Arial" w:hAnsi="Arial" w:cs="Arial"/>
          <w:sz w:val="24"/>
          <w:szCs w:val="24"/>
        </w:rPr>
        <w:t>ociente urea/creatinina es &lt; 36,</w:t>
      </w:r>
      <w:r w:rsidRPr="00A12BC6">
        <w:rPr>
          <w:rFonts w:ascii="Arial" w:hAnsi="Arial" w:cs="Arial"/>
          <w:sz w:val="24"/>
          <w:szCs w:val="24"/>
        </w:rPr>
        <w:t>5</w:t>
      </w:r>
    </w:p>
    <w:p w:rsidR="00A12BC6" w:rsidRDefault="00A12BC6" w:rsidP="00A12BC6">
      <w:pPr>
        <w:spacing w:line="360" w:lineRule="auto"/>
        <w:jc w:val="both"/>
        <w:rPr>
          <w:rFonts w:ascii="Arial" w:hAnsi="Arial" w:cs="Arial"/>
          <w:sz w:val="24"/>
          <w:szCs w:val="24"/>
        </w:rPr>
      </w:pPr>
      <w:r>
        <w:rPr>
          <w:rFonts w:ascii="Arial" w:hAnsi="Arial" w:cs="Arial"/>
          <w:sz w:val="24"/>
          <w:szCs w:val="24"/>
        </w:rPr>
        <w:t xml:space="preserve">En la </w:t>
      </w:r>
      <w:r w:rsidRPr="00A12BC6">
        <w:rPr>
          <w:rFonts w:ascii="Arial" w:hAnsi="Arial" w:cs="Arial"/>
          <w:b/>
          <w:sz w:val="24"/>
          <w:szCs w:val="24"/>
        </w:rPr>
        <w:t>tabla 5</w:t>
      </w:r>
      <w:r>
        <w:rPr>
          <w:rFonts w:ascii="Arial" w:hAnsi="Arial" w:cs="Arial"/>
          <w:b/>
          <w:sz w:val="24"/>
          <w:szCs w:val="24"/>
        </w:rPr>
        <w:t xml:space="preserve"> </w:t>
      </w:r>
      <w:r>
        <w:rPr>
          <w:rFonts w:ascii="Arial" w:hAnsi="Arial" w:cs="Arial"/>
          <w:sz w:val="24"/>
          <w:szCs w:val="24"/>
        </w:rPr>
        <w:t>también se muestran los resultados de los 4 indicadores estadísticos que evalúan el cociente urea/creatinina con resultado positivo y negativo. Estos indicadores fueron determinados teniendo en cuenta:</w:t>
      </w:r>
    </w:p>
    <w:p w:rsidR="00A12BC6" w:rsidRPr="00A12BC6" w:rsidRDefault="00A12BC6" w:rsidP="00A12BC6">
      <w:pPr>
        <w:pStyle w:val="Prrafodelista"/>
        <w:numPr>
          <w:ilvl w:val="0"/>
          <w:numId w:val="13"/>
        </w:numPr>
        <w:spacing w:line="360" w:lineRule="auto"/>
        <w:jc w:val="both"/>
        <w:rPr>
          <w:rFonts w:ascii="Arial" w:hAnsi="Arial" w:cs="Arial"/>
          <w:sz w:val="24"/>
          <w:szCs w:val="24"/>
        </w:rPr>
      </w:pPr>
      <w:r w:rsidRPr="00A12BC6">
        <w:rPr>
          <w:rFonts w:ascii="Arial" w:hAnsi="Arial" w:cs="Arial"/>
          <w:sz w:val="24"/>
          <w:szCs w:val="24"/>
        </w:rPr>
        <w:lastRenderedPageBreak/>
        <w:t xml:space="preserve">Verdaderos positivos: 68 pacientes  fallecidos en los que el cociente pronosticó el fallecimiento. </w:t>
      </w:r>
    </w:p>
    <w:p w:rsidR="00A12BC6" w:rsidRDefault="00A12BC6" w:rsidP="00A12BC6">
      <w:pPr>
        <w:pStyle w:val="Prrafodelista"/>
        <w:numPr>
          <w:ilvl w:val="0"/>
          <w:numId w:val="13"/>
        </w:numPr>
        <w:spacing w:line="360" w:lineRule="auto"/>
        <w:jc w:val="both"/>
        <w:rPr>
          <w:rFonts w:ascii="Arial" w:hAnsi="Arial" w:cs="Arial"/>
          <w:sz w:val="24"/>
          <w:szCs w:val="24"/>
        </w:rPr>
      </w:pPr>
      <w:r w:rsidRPr="00A12BC6">
        <w:rPr>
          <w:rFonts w:ascii="Arial" w:hAnsi="Arial" w:cs="Arial"/>
          <w:sz w:val="24"/>
          <w:szCs w:val="24"/>
        </w:rPr>
        <w:t xml:space="preserve">Verdaderos negativos: 150 pacientes no fallecidos con resultado negativo del cociente. </w:t>
      </w:r>
    </w:p>
    <w:p w:rsidR="00A12BC6" w:rsidRDefault="00A12BC6" w:rsidP="00A12BC6">
      <w:pPr>
        <w:pStyle w:val="Prrafodelista"/>
        <w:numPr>
          <w:ilvl w:val="0"/>
          <w:numId w:val="13"/>
        </w:numPr>
        <w:spacing w:line="360" w:lineRule="auto"/>
        <w:jc w:val="both"/>
        <w:rPr>
          <w:rFonts w:ascii="Arial" w:hAnsi="Arial" w:cs="Arial"/>
          <w:sz w:val="24"/>
          <w:szCs w:val="24"/>
        </w:rPr>
      </w:pPr>
      <w:r w:rsidRPr="00A12BC6">
        <w:rPr>
          <w:rFonts w:ascii="Arial" w:hAnsi="Arial" w:cs="Arial"/>
          <w:sz w:val="24"/>
          <w:szCs w:val="24"/>
        </w:rPr>
        <w:t>Falsos positivos: 8 pacientes no fallecidos con res</w:t>
      </w:r>
      <w:r>
        <w:rPr>
          <w:rFonts w:ascii="Arial" w:hAnsi="Arial" w:cs="Arial"/>
          <w:sz w:val="24"/>
          <w:szCs w:val="24"/>
        </w:rPr>
        <w:t xml:space="preserve">ultado positivo del cociente. </w:t>
      </w:r>
    </w:p>
    <w:p w:rsidR="00A12BC6" w:rsidRDefault="00A12BC6" w:rsidP="00A12BC6">
      <w:pPr>
        <w:pStyle w:val="Prrafodelista"/>
        <w:numPr>
          <w:ilvl w:val="0"/>
          <w:numId w:val="13"/>
        </w:numPr>
        <w:spacing w:line="360" w:lineRule="auto"/>
        <w:jc w:val="both"/>
        <w:rPr>
          <w:rFonts w:ascii="Arial" w:hAnsi="Arial" w:cs="Arial"/>
          <w:sz w:val="24"/>
          <w:szCs w:val="24"/>
        </w:rPr>
      </w:pPr>
      <w:r w:rsidRPr="00A12BC6">
        <w:rPr>
          <w:rFonts w:ascii="Arial" w:hAnsi="Arial" w:cs="Arial"/>
          <w:sz w:val="24"/>
          <w:szCs w:val="24"/>
        </w:rPr>
        <w:t xml:space="preserve">Falsos negativos: 12 pacientes que obtuvieron valor negativo del cociente pero fallecieron.  </w:t>
      </w:r>
    </w:p>
    <w:p w:rsidR="008D05AA" w:rsidRDefault="008D05AA" w:rsidP="008D05AA">
      <w:pPr>
        <w:spacing w:line="360" w:lineRule="auto"/>
        <w:jc w:val="both"/>
        <w:rPr>
          <w:rFonts w:ascii="Arial" w:hAnsi="Arial" w:cs="Arial"/>
          <w:sz w:val="24"/>
          <w:szCs w:val="24"/>
        </w:rPr>
      </w:pPr>
      <w:r w:rsidRPr="008D05AA">
        <w:rPr>
          <w:rFonts w:ascii="Arial" w:hAnsi="Arial" w:cs="Arial"/>
          <w:sz w:val="24"/>
          <w:szCs w:val="24"/>
        </w:rPr>
        <w:t>Los valores expresados en porciento de los indicadores se acercan o sobrepasan la cifra de 90%, siendo significativo el valor predictivo positivo de 89.47% que traduce que el 89.47% de los pacientes con resultado positivo de cociente urea/creatinina fallecieron.</w:t>
      </w:r>
    </w:p>
    <w:p w:rsidR="008D05AA" w:rsidRDefault="008D05AA" w:rsidP="008D05AA">
      <w:pPr>
        <w:spacing w:line="360" w:lineRule="auto"/>
        <w:jc w:val="both"/>
        <w:rPr>
          <w:rFonts w:ascii="Arial" w:hAnsi="Arial" w:cs="Arial"/>
          <w:b/>
          <w:sz w:val="24"/>
          <w:szCs w:val="24"/>
        </w:rPr>
      </w:pPr>
      <w:r w:rsidRPr="006A5A9D">
        <w:rPr>
          <w:rFonts w:ascii="Arial" w:hAnsi="Arial" w:cs="Arial"/>
          <w:b/>
          <w:sz w:val="24"/>
          <w:szCs w:val="24"/>
        </w:rPr>
        <w:t xml:space="preserve">Gráfico </w:t>
      </w:r>
      <w:r>
        <w:rPr>
          <w:rFonts w:ascii="Arial" w:hAnsi="Arial" w:cs="Arial"/>
          <w:b/>
          <w:sz w:val="24"/>
          <w:szCs w:val="24"/>
        </w:rPr>
        <w:t>4</w:t>
      </w:r>
      <w:r w:rsidRPr="006A5A9D">
        <w:rPr>
          <w:rFonts w:ascii="Arial" w:hAnsi="Arial" w:cs="Arial"/>
          <w:b/>
          <w:sz w:val="24"/>
          <w:szCs w:val="24"/>
        </w:rPr>
        <w:t xml:space="preserve">. </w:t>
      </w:r>
      <w:r w:rsidRPr="002B7118">
        <w:rPr>
          <w:rFonts w:ascii="Arial" w:hAnsi="Arial" w:cs="Arial"/>
          <w:sz w:val="24"/>
          <w:szCs w:val="24"/>
        </w:rPr>
        <w:t xml:space="preserve">Funciones de supervivencia global según </w:t>
      </w:r>
      <w:r w:rsidR="009902EE" w:rsidRPr="002B7118">
        <w:rPr>
          <w:rFonts w:ascii="Arial" w:hAnsi="Arial" w:cs="Arial"/>
          <w:sz w:val="24"/>
          <w:szCs w:val="24"/>
        </w:rPr>
        <w:t>punto de corte</w:t>
      </w:r>
      <w:r w:rsidRPr="002B7118">
        <w:rPr>
          <w:rFonts w:ascii="Arial" w:hAnsi="Arial" w:cs="Arial"/>
          <w:sz w:val="24"/>
          <w:szCs w:val="24"/>
        </w:rPr>
        <w:t xml:space="preserve"> de</w:t>
      </w:r>
      <w:r w:rsidR="009902EE" w:rsidRPr="002B7118">
        <w:rPr>
          <w:rFonts w:ascii="Arial" w:hAnsi="Arial" w:cs="Arial"/>
          <w:sz w:val="24"/>
          <w:szCs w:val="24"/>
        </w:rPr>
        <w:t>l</w:t>
      </w:r>
      <w:r w:rsidRPr="002B7118">
        <w:rPr>
          <w:rFonts w:ascii="Arial" w:hAnsi="Arial" w:cs="Arial"/>
          <w:sz w:val="24"/>
          <w:szCs w:val="24"/>
        </w:rPr>
        <w:t xml:space="preserve"> cociente urea/creatinina.</w:t>
      </w:r>
    </w:p>
    <w:p w:rsidR="009902EE" w:rsidRDefault="009902EE" w:rsidP="009902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val="en-US" w:eastAsia="en-US"/>
        </w:rPr>
        <w:drawing>
          <wp:inline distT="0" distB="0" distL="0" distR="0">
            <wp:extent cx="4509817" cy="3579962"/>
            <wp:effectExtent l="19050" t="0" r="5033"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4509647" cy="3579827"/>
                    </a:xfrm>
                    <a:prstGeom prst="rect">
                      <a:avLst/>
                    </a:prstGeom>
                    <a:noFill/>
                    <a:ln w="9525">
                      <a:noFill/>
                      <a:miter lim="800000"/>
                      <a:headEnd/>
                      <a:tailEnd/>
                    </a:ln>
                  </pic:spPr>
                </pic:pic>
              </a:graphicData>
            </a:graphic>
          </wp:inline>
        </w:drawing>
      </w:r>
    </w:p>
    <w:p w:rsidR="009902EE" w:rsidRDefault="009902EE" w:rsidP="009902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902EE" w:rsidRDefault="009902EE" w:rsidP="009902EE">
      <w:pPr>
        <w:spacing w:line="360" w:lineRule="auto"/>
        <w:jc w:val="both"/>
        <w:rPr>
          <w:rFonts w:ascii="Arial" w:hAnsi="Arial" w:cs="Arial"/>
          <w:b/>
          <w:sz w:val="24"/>
          <w:szCs w:val="24"/>
        </w:rPr>
      </w:pPr>
    </w:p>
    <w:p w:rsidR="009902EE" w:rsidRDefault="009902EE" w:rsidP="009902EE">
      <w:pPr>
        <w:spacing w:line="360" w:lineRule="auto"/>
        <w:jc w:val="both"/>
        <w:rPr>
          <w:rFonts w:ascii="Arial" w:hAnsi="Arial" w:cs="Arial"/>
          <w:b/>
          <w:sz w:val="24"/>
          <w:szCs w:val="24"/>
        </w:rPr>
      </w:pPr>
      <w:r w:rsidRPr="00295E9E">
        <w:rPr>
          <w:rFonts w:ascii="Arial" w:hAnsi="Arial" w:cs="Arial"/>
          <w:b/>
          <w:sz w:val="24"/>
          <w:szCs w:val="24"/>
        </w:rPr>
        <w:lastRenderedPageBreak/>
        <w:t xml:space="preserve">Tabla </w:t>
      </w:r>
      <w:r>
        <w:rPr>
          <w:rFonts w:ascii="Arial" w:hAnsi="Arial" w:cs="Arial"/>
          <w:b/>
          <w:sz w:val="24"/>
          <w:szCs w:val="24"/>
        </w:rPr>
        <w:t>6</w:t>
      </w:r>
      <w:r w:rsidRPr="00295E9E">
        <w:rPr>
          <w:rFonts w:ascii="Arial" w:hAnsi="Arial" w:cs="Arial"/>
          <w:b/>
          <w:sz w:val="24"/>
          <w:szCs w:val="24"/>
        </w:rPr>
        <w:t xml:space="preserve">. </w:t>
      </w:r>
      <w:r w:rsidRPr="002B7118">
        <w:rPr>
          <w:rFonts w:ascii="Arial" w:hAnsi="Arial" w:cs="Arial"/>
          <w:sz w:val="24"/>
          <w:szCs w:val="24"/>
        </w:rPr>
        <w:t>Prueba de igualdad de distribuciones de supervivencia según punto de corte del cociente urea creatinina.</w:t>
      </w:r>
    </w:p>
    <w:tbl>
      <w:tblPr>
        <w:tblStyle w:val="Listaclara-nfasis5"/>
        <w:tblW w:w="7196" w:type="dxa"/>
        <w:tblLayout w:type="fixed"/>
        <w:tblLook w:val="04A0"/>
      </w:tblPr>
      <w:tblGrid>
        <w:gridCol w:w="1239"/>
        <w:gridCol w:w="934"/>
        <w:gridCol w:w="236"/>
        <w:gridCol w:w="1243"/>
        <w:gridCol w:w="236"/>
        <w:gridCol w:w="1607"/>
        <w:gridCol w:w="1701"/>
      </w:tblGrid>
      <w:tr w:rsidR="000C134F" w:rsidTr="000C134F">
        <w:trPr>
          <w:cnfStyle w:val="100000000000"/>
          <w:trHeight w:val="496"/>
        </w:trPr>
        <w:tc>
          <w:tcPr>
            <w:cnfStyle w:val="001000000000"/>
            <w:tcW w:w="1239" w:type="dxa"/>
            <w:tcBorders>
              <w:right w:val="single" w:sz="4" w:space="0" w:color="auto"/>
            </w:tcBorders>
          </w:tcPr>
          <w:p w:rsidR="000C134F" w:rsidRDefault="000C134F" w:rsidP="00E30FF4">
            <w:pPr>
              <w:spacing w:line="360" w:lineRule="auto"/>
              <w:jc w:val="both"/>
              <w:rPr>
                <w:rFonts w:ascii="Arial" w:hAnsi="Arial" w:cs="Arial"/>
                <w:b w:val="0"/>
                <w:sz w:val="24"/>
                <w:szCs w:val="24"/>
              </w:rPr>
            </w:pPr>
            <w:r>
              <w:rPr>
                <w:rFonts w:ascii="Arial" w:hAnsi="Arial" w:cs="Arial"/>
                <w:b w:val="0"/>
                <w:sz w:val="24"/>
                <w:szCs w:val="24"/>
              </w:rPr>
              <w:t>Punto de corte</w:t>
            </w:r>
          </w:p>
        </w:tc>
        <w:tc>
          <w:tcPr>
            <w:tcW w:w="934" w:type="dxa"/>
            <w:tcBorders>
              <w:left w:val="single" w:sz="4" w:space="0" w:color="auto"/>
              <w:right w:val="single" w:sz="4" w:space="0" w:color="auto"/>
            </w:tcBorders>
          </w:tcPr>
          <w:p w:rsidR="000C134F" w:rsidRDefault="000C134F" w:rsidP="00E30FF4">
            <w:pPr>
              <w:spacing w:line="360" w:lineRule="auto"/>
              <w:jc w:val="both"/>
              <w:cnfStyle w:val="100000000000"/>
              <w:rPr>
                <w:rFonts w:ascii="Arial" w:hAnsi="Arial" w:cs="Arial"/>
                <w:bCs w:val="0"/>
                <w:sz w:val="24"/>
                <w:szCs w:val="24"/>
              </w:rPr>
            </w:pPr>
            <w:r>
              <w:rPr>
                <w:rFonts w:ascii="Arial" w:hAnsi="Arial" w:cs="Arial"/>
                <w:bCs w:val="0"/>
                <w:sz w:val="24"/>
                <w:szCs w:val="24"/>
              </w:rPr>
              <w:t>Total</w:t>
            </w:r>
          </w:p>
        </w:tc>
        <w:tc>
          <w:tcPr>
            <w:tcW w:w="236" w:type="dxa"/>
            <w:tcBorders>
              <w:left w:val="single" w:sz="4" w:space="0" w:color="auto"/>
            </w:tcBorders>
          </w:tcPr>
          <w:p w:rsidR="000C134F" w:rsidRDefault="000C134F" w:rsidP="00E30FF4">
            <w:pPr>
              <w:spacing w:line="360" w:lineRule="auto"/>
              <w:jc w:val="both"/>
              <w:cnfStyle w:val="100000000000"/>
              <w:rPr>
                <w:rFonts w:ascii="Arial" w:hAnsi="Arial" w:cs="Arial"/>
                <w:b w:val="0"/>
                <w:sz w:val="24"/>
                <w:szCs w:val="24"/>
              </w:rPr>
            </w:pPr>
          </w:p>
        </w:tc>
        <w:tc>
          <w:tcPr>
            <w:tcW w:w="1243" w:type="dxa"/>
            <w:tcBorders>
              <w:right w:val="single" w:sz="4" w:space="0" w:color="auto"/>
            </w:tcBorders>
          </w:tcPr>
          <w:p w:rsidR="000C134F" w:rsidRPr="00F0096E" w:rsidRDefault="000C134F" w:rsidP="00E30FF4">
            <w:pPr>
              <w:spacing w:line="360" w:lineRule="auto"/>
              <w:jc w:val="both"/>
              <w:cnfStyle w:val="100000000000"/>
              <w:rPr>
                <w:rFonts w:ascii="Arial" w:hAnsi="Arial" w:cs="Arial"/>
                <w:bCs w:val="0"/>
                <w:sz w:val="24"/>
                <w:szCs w:val="24"/>
              </w:rPr>
            </w:pPr>
            <w:r>
              <w:rPr>
                <w:rFonts w:ascii="Arial" w:hAnsi="Arial" w:cs="Arial"/>
                <w:bCs w:val="0"/>
                <w:sz w:val="24"/>
                <w:szCs w:val="24"/>
              </w:rPr>
              <w:t xml:space="preserve">No. </w:t>
            </w:r>
            <w:r w:rsidRPr="00F0096E">
              <w:rPr>
                <w:rFonts w:ascii="Arial" w:hAnsi="Arial" w:cs="Arial"/>
                <w:bCs w:val="0"/>
                <w:sz w:val="24"/>
                <w:szCs w:val="24"/>
              </w:rPr>
              <w:t>de eventos</w:t>
            </w:r>
          </w:p>
        </w:tc>
        <w:tc>
          <w:tcPr>
            <w:tcW w:w="236" w:type="dxa"/>
            <w:tcBorders>
              <w:left w:val="single" w:sz="4" w:space="0" w:color="auto"/>
            </w:tcBorders>
          </w:tcPr>
          <w:p w:rsidR="000C134F" w:rsidRPr="00F0096E" w:rsidRDefault="000C134F" w:rsidP="000C134F">
            <w:pPr>
              <w:spacing w:line="360" w:lineRule="auto"/>
              <w:jc w:val="both"/>
              <w:cnfStyle w:val="100000000000"/>
              <w:rPr>
                <w:rFonts w:ascii="Arial" w:hAnsi="Arial" w:cs="Arial"/>
                <w:b w:val="0"/>
                <w:sz w:val="24"/>
                <w:szCs w:val="24"/>
              </w:rPr>
            </w:pPr>
          </w:p>
        </w:tc>
        <w:tc>
          <w:tcPr>
            <w:tcW w:w="1607" w:type="dxa"/>
            <w:tcBorders>
              <w:right w:val="single" w:sz="4" w:space="0" w:color="auto"/>
            </w:tcBorders>
          </w:tcPr>
          <w:p w:rsidR="000C134F" w:rsidRPr="00F0096E" w:rsidRDefault="000C134F" w:rsidP="00E30FF4">
            <w:pPr>
              <w:spacing w:line="360" w:lineRule="auto"/>
              <w:jc w:val="both"/>
              <w:cnfStyle w:val="100000000000"/>
              <w:rPr>
                <w:rFonts w:ascii="Arial" w:hAnsi="Arial" w:cs="Arial"/>
                <w:sz w:val="24"/>
                <w:szCs w:val="24"/>
              </w:rPr>
            </w:pPr>
            <w:r>
              <w:rPr>
                <w:rFonts w:ascii="Arial" w:hAnsi="Arial" w:cs="Arial"/>
                <w:sz w:val="24"/>
                <w:szCs w:val="24"/>
              </w:rPr>
              <w:t>Censurados</w:t>
            </w:r>
          </w:p>
        </w:tc>
        <w:tc>
          <w:tcPr>
            <w:tcW w:w="1701" w:type="dxa"/>
            <w:tcBorders>
              <w:left w:val="single" w:sz="4" w:space="0" w:color="auto"/>
            </w:tcBorders>
          </w:tcPr>
          <w:p w:rsidR="000C134F" w:rsidRDefault="000C134F" w:rsidP="000C134F">
            <w:pPr>
              <w:jc w:val="center"/>
              <w:cnfStyle w:val="100000000000"/>
              <w:rPr>
                <w:rFonts w:ascii="Arial" w:hAnsi="Arial" w:cs="Arial"/>
                <w:b w:val="0"/>
                <w:sz w:val="24"/>
                <w:szCs w:val="24"/>
              </w:rPr>
            </w:pPr>
            <w:r>
              <w:rPr>
                <w:rFonts w:ascii="Arial" w:hAnsi="Arial" w:cs="Arial"/>
                <w:b w:val="0"/>
                <w:bCs w:val="0"/>
                <w:sz w:val="24"/>
                <w:szCs w:val="24"/>
              </w:rPr>
              <w:t>Log-Rank (Mantel-Cox)</w:t>
            </w:r>
          </w:p>
        </w:tc>
      </w:tr>
      <w:tr w:rsidR="000C134F" w:rsidTr="000C134F">
        <w:trPr>
          <w:cnfStyle w:val="000000100000"/>
        </w:trPr>
        <w:tc>
          <w:tcPr>
            <w:cnfStyle w:val="001000000000"/>
            <w:tcW w:w="1239" w:type="dxa"/>
            <w:tcBorders>
              <w:top w:val="single" w:sz="4" w:space="0" w:color="auto"/>
              <w:right w:val="single" w:sz="4" w:space="0" w:color="auto"/>
            </w:tcBorders>
          </w:tcPr>
          <w:p w:rsidR="000C134F" w:rsidRDefault="000C134F" w:rsidP="00E30FF4">
            <w:pPr>
              <w:spacing w:line="360" w:lineRule="auto"/>
              <w:jc w:val="both"/>
              <w:rPr>
                <w:rFonts w:ascii="Arial" w:hAnsi="Arial" w:cs="Arial"/>
                <w:b w:val="0"/>
                <w:sz w:val="24"/>
                <w:szCs w:val="24"/>
              </w:rPr>
            </w:pPr>
            <w:r>
              <w:rPr>
                <w:rFonts w:ascii="Arial" w:hAnsi="Arial" w:cs="Arial"/>
                <w:b w:val="0"/>
                <w:sz w:val="24"/>
                <w:szCs w:val="24"/>
              </w:rPr>
              <w:t>&lt; 36,5</w:t>
            </w:r>
          </w:p>
        </w:tc>
        <w:tc>
          <w:tcPr>
            <w:tcW w:w="934" w:type="dxa"/>
            <w:tcBorders>
              <w:top w:val="single" w:sz="4" w:space="0" w:color="auto"/>
              <w:left w:val="single" w:sz="4" w:space="0" w:color="auto"/>
              <w:right w:val="single" w:sz="4" w:space="0" w:color="auto"/>
            </w:tcBorders>
          </w:tcPr>
          <w:p w:rsidR="000C134F" w:rsidRDefault="000C134F" w:rsidP="00E30FF4">
            <w:pPr>
              <w:spacing w:line="360" w:lineRule="auto"/>
              <w:jc w:val="center"/>
              <w:cnfStyle w:val="000000100000"/>
              <w:rPr>
                <w:rFonts w:ascii="Arial" w:hAnsi="Arial" w:cs="Arial"/>
                <w:bCs/>
                <w:sz w:val="24"/>
                <w:szCs w:val="24"/>
              </w:rPr>
            </w:pPr>
            <w:r>
              <w:rPr>
                <w:rFonts w:ascii="Arial" w:hAnsi="Arial" w:cs="Arial"/>
                <w:bCs/>
                <w:sz w:val="24"/>
                <w:szCs w:val="24"/>
              </w:rPr>
              <w:t>212</w:t>
            </w:r>
          </w:p>
        </w:tc>
        <w:tc>
          <w:tcPr>
            <w:tcW w:w="236" w:type="dxa"/>
            <w:tcBorders>
              <w:top w:val="single" w:sz="4" w:space="0" w:color="auto"/>
              <w:left w:val="single" w:sz="4" w:space="0" w:color="auto"/>
            </w:tcBorders>
          </w:tcPr>
          <w:p w:rsidR="000C134F" w:rsidRDefault="000C134F" w:rsidP="00E30FF4">
            <w:pPr>
              <w:spacing w:line="360" w:lineRule="auto"/>
              <w:jc w:val="both"/>
              <w:cnfStyle w:val="000000100000"/>
              <w:rPr>
                <w:rFonts w:ascii="Arial" w:hAnsi="Arial" w:cs="Arial"/>
                <w:b/>
                <w:sz w:val="24"/>
                <w:szCs w:val="24"/>
              </w:rPr>
            </w:pPr>
          </w:p>
        </w:tc>
        <w:tc>
          <w:tcPr>
            <w:tcW w:w="1243" w:type="dxa"/>
            <w:tcBorders>
              <w:top w:val="single" w:sz="4" w:space="0" w:color="auto"/>
              <w:right w:val="single" w:sz="4" w:space="0" w:color="auto"/>
            </w:tcBorders>
          </w:tcPr>
          <w:p w:rsidR="000C134F" w:rsidRPr="00F0096E" w:rsidRDefault="000C134F" w:rsidP="004A3673">
            <w:pPr>
              <w:spacing w:line="360" w:lineRule="auto"/>
              <w:jc w:val="center"/>
              <w:cnfStyle w:val="000000100000"/>
              <w:rPr>
                <w:rFonts w:ascii="Arial" w:hAnsi="Arial" w:cs="Arial"/>
                <w:sz w:val="24"/>
                <w:szCs w:val="24"/>
              </w:rPr>
            </w:pPr>
            <w:r>
              <w:rPr>
                <w:rFonts w:ascii="Arial" w:hAnsi="Arial" w:cs="Arial"/>
                <w:sz w:val="24"/>
                <w:szCs w:val="24"/>
              </w:rPr>
              <w:t>7</w:t>
            </w:r>
            <w:r w:rsidR="004A3673">
              <w:rPr>
                <w:rFonts w:ascii="Arial" w:hAnsi="Arial" w:cs="Arial"/>
                <w:sz w:val="24"/>
                <w:szCs w:val="24"/>
              </w:rPr>
              <w:t>4</w:t>
            </w:r>
          </w:p>
        </w:tc>
        <w:tc>
          <w:tcPr>
            <w:tcW w:w="236" w:type="dxa"/>
            <w:tcBorders>
              <w:top w:val="single" w:sz="4" w:space="0" w:color="auto"/>
              <w:left w:val="single" w:sz="4" w:space="0" w:color="auto"/>
            </w:tcBorders>
          </w:tcPr>
          <w:p w:rsidR="000C134F" w:rsidRPr="00F0096E" w:rsidRDefault="000C134F" w:rsidP="000C134F">
            <w:pPr>
              <w:spacing w:line="360" w:lineRule="auto"/>
              <w:jc w:val="center"/>
              <w:cnfStyle w:val="000000100000"/>
              <w:rPr>
                <w:rFonts w:ascii="Arial" w:hAnsi="Arial" w:cs="Arial"/>
                <w:sz w:val="24"/>
                <w:szCs w:val="24"/>
              </w:rPr>
            </w:pPr>
          </w:p>
        </w:tc>
        <w:tc>
          <w:tcPr>
            <w:tcW w:w="1607" w:type="dxa"/>
            <w:tcBorders>
              <w:top w:val="single" w:sz="4" w:space="0" w:color="auto"/>
              <w:right w:val="single" w:sz="4" w:space="0" w:color="auto"/>
            </w:tcBorders>
          </w:tcPr>
          <w:p w:rsidR="000C134F" w:rsidRPr="00F0096E" w:rsidRDefault="000C134F" w:rsidP="000C134F">
            <w:pPr>
              <w:spacing w:line="360" w:lineRule="auto"/>
              <w:jc w:val="center"/>
              <w:cnfStyle w:val="000000100000"/>
              <w:rPr>
                <w:rFonts w:ascii="Arial" w:hAnsi="Arial" w:cs="Arial"/>
                <w:sz w:val="24"/>
                <w:szCs w:val="24"/>
              </w:rPr>
            </w:pPr>
            <w:r>
              <w:rPr>
                <w:rFonts w:ascii="Arial" w:hAnsi="Arial" w:cs="Arial"/>
                <w:sz w:val="24"/>
                <w:szCs w:val="24"/>
              </w:rPr>
              <w:t>138 (65,1%)</w:t>
            </w:r>
          </w:p>
        </w:tc>
        <w:tc>
          <w:tcPr>
            <w:tcW w:w="1701" w:type="dxa"/>
            <w:vMerge w:val="restart"/>
            <w:tcBorders>
              <w:top w:val="single" w:sz="4" w:space="0" w:color="auto"/>
              <w:left w:val="single" w:sz="4" w:space="0" w:color="auto"/>
            </w:tcBorders>
          </w:tcPr>
          <w:p w:rsidR="000C134F" w:rsidRDefault="000C134F" w:rsidP="000C134F">
            <w:pPr>
              <w:jc w:val="center"/>
              <w:cnfStyle w:val="000000100000"/>
              <w:rPr>
                <w:rFonts w:ascii="Arial" w:hAnsi="Arial" w:cs="Arial"/>
                <w:b/>
                <w:sz w:val="24"/>
                <w:szCs w:val="24"/>
              </w:rPr>
            </w:pPr>
          </w:p>
          <w:p w:rsidR="000C134F" w:rsidRDefault="000C134F" w:rsidP="000C134F">
            <w:pPr>
              <w:jc w:val="center"/>
              <w:cnfStyle w:val="000000100000"/>
              <w:rPr>
                <w:rFonts w:ascii="Arial" w:hAnsi="Arial" w:cs="Arial"/>
                <w:b/>
                <w:sz w:val="24"/>
                <w:szCs w:val="24"/>
              </w:rPr>
            </w:pPr>
          </w:p>
          <w:p w:rsidR="000C134F" w:rsidRDefault="000C134F" w:rsidP="000C134F">
            <w:pPr>
              <w:jc w:val="center"/>
              <w:cnfStyle w:val="000000100000"/>
              <w:rPr>
                <w:rFonts w:ascii="Arial" w:hAnsi="Arial" w:cs="Arial"/>
                <w:b/>
                <w:sz w:val="24"/>
                <w:szCs w:val="24"/>
              </w:rPr>
            </w:pPr>
            <w:r w:rsidRPr="009553E9">
              <w:rPr>
                <w:rFonts w:ascii="Arial" w:hAnsi="Arial" w:cs="Arial"/>
                <w:sz w:val="24"/>
                <w:szCs w:val="24"/>
              </w:rPr>
              <w:t>p&lt;0,0001</w:t>
            </w:r>
          </w:p>
        </w:tc>
      </w:tr>
      <w:tr w:rsidR="000C134F" w:rsidTr="000C134F">
        <w:tc>
          <w:tcPr>
            <w:cnfStyle w:val="001000000000"/>
            <w:tcW w:w="1239" w:type="dxa"/>
            <w:tcBorders>
              <w:right w:val="single" w:sz="4" w:space="0" w:color="auto"/>
            </w:tcBorders>
          </w:tcPr>
          <w:p w:rsidR="000C134F" w:rsidRDefault="000C134F" w:rsidP="00E30FF4">
            <w:pPr>
              <w:spacing w:line="360" w:lineRule="auto"/>
              <w:jc w:val="both"/>
              <w:rPr>
                <w:rFonts w:ascii="Arial" w:hAnsi="Arial" w:cs="Arial"/>
                <w:b w:val="0"/>
                <w:sz w:val="24"/>
                <w:szCs w:val="24"/>
              </w:rPr>
            </w:pPr>
            <w:r>
              <w:rPr>
                <w:rFonts w:ascii="Arial" w:hAnsi="Arial" w:cs="Arial"/>
                <w:b w:val="0"/>
                <w:sz w:val="24"/>
                <w:szCs w:val="24"/>
              </w:rPr>
              <w:t>˃ 36,5</w:t>
            </w:r>
          </w:p>
        </w:tc>
        <w:tc>
          <w:tcPr>
            <w:tcW w:w="934" w:type="dxa"/>
            <w:tcBorders>
              <w:left w:val="single" w:sz="4" w:space="0" w:color="auto"/>
              <w:right w:val="single" w:sz="4" w:space="0" w:color="auto"/>
            </w:tcBorders>
          </w:tcPr>
          <w:p w:rsidR="000C134F" w:rsidRDefault="000C134F" w:rsidP="00E30FF4">
            <w:pPr>
              <w:spacing w:line="360" w:lineRule="auto"/>
              <w:jc w:val="center"/>
              <w:cnfStyle w:val="000000000000"/>
              <w:rPr>
                <w:rFonts w:ascii="Arial" w:hAnsi="Arial" w:cs="Arial"/>
                <w:bCs/>
                <w:sz w:val="24"/>
                <w:szCs w:val="24"/>
              </w:rPr>
            </w:pPr>
            <w:r>
              <w:rPr>
                <w:rFonts w:ascii="Arial" w:hAnsi="Arial" w:cs="Arial"/>
                <w:bCs/>
                <w:sz w:val="24"/>
                <w:szCs w:val="24"/>
              </w:rPr>
              <w:t>26</w:t>
            </w:r>
          </w:p>
        </w:tc>
        <w:tc>
          <w:tcPr>
            <w:tcW w:w="236" w:type="dxa"/>
            <w:tcBorders>
              <w:left w:val="single" w:sz="4" w:space="0" w:color="auto"/>
            </w:tcBorders>
          </w:tcPr>
          <w:p w:rsidR="000C134F" w:rsidRDefault="000C134F" w:rsidP="00E30FF4">
            <w:pPr>
              <w:spacing w:line="360" w:lineRule="auto"/>
              <w:jc w:val="both"/>
              <w:cnfStyle w:val="000000000000"/>
              <w:rPr>
                <w:rFonts w:ascii="Arial" w:hAnsi="Arial" w:cs="Arial"/>
                <w:b/>
                <w:sz w:val="24"/>
                <w:szCs w:val="24"/>
              </w:rPr>
            </w:pPr>
          </w:p>
        </w:tc>
        <w:tc>
          <w:tcPr>
            <w:tcW w:w="1243" w:type="dxa"/>
            <w:tcBorders>
              <w:right w:val="single" w:sz="4" w:space="0" w:color="auto"/>
            </w:tcBorders>
          </w:tcPr>
          <w:p w:rsidR="000C134F" w:rsidRPr="00F0096E" w:rsidRDefault="000C134F" w:rsidP="004A3673">
            <w:pPr>
              <w:spacing w:line="360" w:lineRule="auto"/>
              <w:jc w:val="center"/>
              <w:cnfStyle w:val="000000000000"/>
              <w:rPr>
                <w:rFonts w:ascii="Arial" w:hAnsi="Arial" w:cs="Arial"/>
                <w:sz w:val="24"/>
                <w:szCs w:val="24"/>
              </w:rPr>
            </w:pPr>
            <w:r>
              <w:rPr>
                <w:rFonts w:ascii="Arial" w:hAnsi="Arial" w:cs="Arial"/>
                <w:sz w:val="24"/>
                <w:szCs w:val="24"/>
              </w:rPr>
              <w:t>1</w:t>
            </w:r>
            <w:r w:rsidR="004A3673">
              <w:rPr>
                <w:rFonts w:ascii="Arial" w:hAnsi="Arial" w:cs="Arial"/>
                <w:sz w:val="24"/>
                <w:szCs w:val="24"/>
              </w:rPr>
              <w:t>8</w:t>
            </w:r>
          </w:p>
        </w:tc>
        <w:tc>
          <w:tcPr>
            <w:tcW w:w="236" w:type="dxa"/>
            <w:tcBorders>
              <w:left w:val="single" w:sz="4" w:space="0" w:color="auto"/>
            </w:tcBorders>
          </w:tcPr>
          <w:p w:rsidR="000C134F" w:rsidRPr="00F0096E" w:rsidRDefault="000C134F" w:rsidP="000C134F">
            <w:pPr>
              <w:spacing w:line="360" w:lineRule="auto"/>
              <w:jc w:val="center"/>
              <w:cnfStyle w:val="000000000000"/>
              <w:rPr>
                <w:rFonts w:ascii="Arial" w:hAnsi="Arial" w:cs="Arial"/>
                <w:sz w:val="24"/>
                <w:szCs w:val="24"/>
              </w:rPr>
            </w:pPr>
          </w:p>
        </w:tc>
        <w:tc>
          <w:tcPr>
            <w:tcW w:w="1607" w:type="dxa"/>
            <w:tcBorders>
              <w:right w:val="single" w:sz="4" w:space="0" w:color="auto"/>
            </w:tcBorders>
          </w:tcPr>
          <w:p w:rsidR="000C134F" w:rsidRPr="00F0096E" w:rsidRDefault="000C134F" w:rsidP="000C134F">
            <w:pPr>
              <w:spacing w:line="360" w:lineRule="auto"/>
              <w:jc w:val="center"/>
              <w:cnfStyle w:val="000000000000"/>
              <w:rPr>
                <w:rFonts w:ascii="Arial" w:hAnsi="Arial" w:cs="Arial"/>
                <w:sz w:val="24"/>
                <w:szCs w:val="24"/>
              </w:rPr>
            </w:pPr>
            <w:r>
              <w:rPr>
                <w:rFonts w:ascii="Arial" w:hAnsi="Arial" w:cs="Arial"/>
                <w:sz w:val="24"/>
                <w:szCs w:val="24"/>
              </w:rPr>
              <w:t>8 (30,8%)</w:t>
            </w:r>
          </w:p>
        </w:tc>
        <w:tc>
          <w:tcPr>
            <w:tcW w:w="1701" w:type="dxa"/>
            <w:vMerge/>
            <w:tcBorders>
              <w:left w:val="single" w:sz="4" w:space="0" w:color="auto"/>
            </w:tcBorders>
          </w:tcPr>
          <w:p w:rsidR="000C134F" w:rsidRDefault="000C134F">
            <w:pPr>
              <w:cnfStyle w:val="000000000000"/>
              <w:rPr>
                <w:rFonts w:ascii="Arial" w:hAnsi="Arial" w:cs="Arial"/>
                <w:b/>
                <w:sz w:val="24"/>
                <w:szCs w:val="24"/>
              </w:rPr>
            </w:pPr>
          </w:p>
        </w:tc>
      </w:tr>
      <w:tr w:rsidR="000C134F" w:rsidTr="000C134F">
        <w:trPr>
          <w:cnfStyle w:val="000000100000"/>
          <w:trHeight w:val="328"/>
        </w:trPr>
        <w:tc>
          <w:tcPr>
            <w:cnfStyle w:val="001000000000"/>
            <w:tcW w:w="1239" w:type="dxa"/>
            <w:tcBorders>
              <w:right w:val="single" w:sz="4" w:space="0" w:color="auto"/>
            </w:tcBorders>
          </w:tcPr>
          <w:p w:rsidR="000C134F" w:rsidRDefault="000C134F" w:rsidP="00E30FF4">
            <w:pPr>
              <w:spacing w:line="360" w:lineRule="auto"/>
              <w:jc w:val="both"/>
              <w:rPr>
                <w:rFonts w:ascii="Arial" w:hAnsi="Arial" w:cs="Arial"/>
                <w:b w:val="0"/>
                <w:sz w:val="24"/>
                <w:szCs w:val="24"/>
              </w:rPr>
            </w:pPr>
            <w:r>
              <w:rPr>
                <w:rFonts w:ascii="Arial" w:hAnsi="Arial" w:cs="Arial"/>
                <w:b w:val="0"/>
                <w:sz w:val="24"/>
                <w:szCs w:val="24"/>
              </w:rPr>
              <w:t>Global</w:t>
            </w:r>
          </w:p>
        </w:tc>
        <w:tc>
          <w:tcPr>
            <w:tcW w:w="934" w:type="dxa"/>
            <w:tcBorders>
              <w:left w:val="single" w:sz="4" w:space="0" w:color="auto"/>
              <w:right w:val="single" w:sz="4" w:space="0" w:color="auto"/>
            </w:tcBorders>
          </w:tcPr>
          <w:p w:rsidR="000C134F" w:rsidRDefault="000C134F" w:rsidP="00E30FF4">
            <w:pPr>
              <w:spacing w:line="360" w:lineRule="auto"/>
              <w:jc w:val="center"/>
              <w:cnfStyle w:val="000000100000"/>
              <w:rPr>
                <w:rFonts w:ascii="Arial" w:hAnsi="Arial" w:cs="Arial"/>
                <w:bCs/>
                <w:sz w:val="24"/>
                <w:szCs w:val="24"/>
              </w:rPr>
            </w:pPr>
            <w:r>
              <w:rPr>
                <w:rFonts w:ascii="Arial" w:hAnsi="Arial" w:cs="Arial"/>
                <w:bCs/>
                <w:sz w:val="24"/>
                <w:szCs w:val="24"/>
              </w:rPr>
              <w:t>238</w:t>
            </w:r>
          </w:p>
        </w:tc>
        <w:tc>
          <w:tcPr>
            <w:tcW w:w="236" w:type="dxa"/>
            <w:tcBorders>
              <w:left w:val="single" w:sz="4" w:space="0" w:color="auto"/>
            </w:tcBorders>
          </w:tcPr>
          <w:p w:rsidR="000C134F" w:rsidRDefault="000C134F" w:rsidP="00E30FF4">
            <w:pPr>
              <w:spacing w:line="360" w:lineRule="auto"/>
              <w:jc w:val="both"/>
              <w:cnfStyle w:val="000000100000"/>
              <w:rPr>
                <w:rFonts w:ascii="Arial" w:hAnsi="Arial" w:cs="Arial"/>
                <w:b/>
                <w:sz w:val="24"/>
                <w:szCs w:val="24"/>
              </w:rPr>
            </w:pPr>
          </w:p>
        </w:tc>
        <w:tc>
          <w:tcPr>
            <w:tcW w:w="1243" w:type="dxa"/>
            <w:tcBorders>
              <w:right w:val="single" w:sz="4" w:space="0" w:color="auto"/>
            </w:tcBorders>
          </w:tcPr>
          <w:p w:rsidR="000C134F" w:rsidRPr="00F0096E" w:rsidRDefault="000C134F" w:rsidP="00E30FF4">
            <w:pPr>
              <w:spacing w:line="360" w:lineRule="auto"/>
              <w:jc w:val="center"/>
              <w:cnfStyle w:val="000000100000"/>
              <w:rPr>
                <w:rFonts w:ascii="Arial" w:hAnsi="Arial" w:cs="Arial"/>
                <w:sz w:val="24"/>
                <w:szCs w:val="24"/>
              </w:rPr>
            </w:pPr>
            <w:r>
              <w:rPr>
                <w:rFonts w:ascii="Arial" w:hAnsi="Arial" w:cs="Arial"/>
                <w:sz w:val="24"/>
                <w:szCs w:val="24"/>
              </w:rPr>
              <w:t>92</w:t>
            </w:r>
          </w:p>
        </w:tc>
        <w:tc>
          <w:tcPr>
            <w:tcW w:w="236" w:type="dxa"/>
            <w:tcBorders>
              <w:left w:val="single" w:sz="4" w:space="0" w:color="auto"/>
            </w:tcBorders>
          </w:tcPr>
          <w:p w:rsidR="000C134F" w:rsidRPr="00F0096E" w:rsidRDefault="000C134F" w:rsidP="000C134F">
            <w:pPr>
              <w:spacing w:line="360" w:lineRule="auto"/>
              <w:jc w:val="center"/>
              <w:cnfStyle w:val="000000100000"/>
              <w:rPr>
                <w:rFonts w:ascii="Arial" w:hAnsi="Arial" w:cs="Arial"/>
                <w:sz w:val="24"/>
                <w:szCs w:val="24"/>
              </w:rPr>
            </w:pPr>
          </w:p>
        </w:tc>
        <w:tc>
          <w:tcPr>
            <w:tcW w:w="1607" w:type="dxa"/>
            <w:tcBorders>
              <w:right w:val="single" w:sz="4" w:space="0" w:color="auto"/>
            </w:tcBorders>
          </w:tcPr>
          <w:p w:rsidR="000C134F" w:rsidRPr="00F0096E" w:rsidRDefault="000C134F" w:rsidP="00E30FF4">
            <w:pPr>
              <w:spacing w:line="360" w:lineRule="auto"/>
              <w:jc w:val="center"/>
              <w:cnfStyle w:val="000000100000"/>
              <w:rPr>
                <w:rFonts w:ascii="Arial" w:hAnsi="Arial" w:cs="Arial"/>
                <w:sz w:val="24"/>
                <w:szCs w:val="24"/>
              </w:rPr>
            </w:pPr>
            <w:r>
              <w:rPr>
                <w:rFonts w:ascii="Arial" w:hAnsi="Arial" w:cs="Arial"/>
                <w:sz w:val="24"/>
                <w:szCs w:val="24"/>
              </w:rPr>
              <w:t>146 (61,3%)</w:t>
            </w:r>
          </w:p>
        </w:tc>
        <w:tc>
          <w:tcPr>
            <w:tcW w:w="1701" w:type="dxa"/>
            <w:vMerge/>
            <w:tcBorders>
              <w:left w:val="single" w:sz="4" w:space="0" w:color="auto"/>
            </w:tcBorders>
          </w:tcPr>
          <w:p w:rsidR="000C134F" w:rsidRDefault="000C134F">
            <w:pPr>
              <w:cnfStyle w:val="000000100000"/>
              <w:rPr>
                <w:rFonts w:ascii="Arial" w:hAnsi="Arial" w:cs="Arial"/>
                <w:b/>
                <w:sz w:val="24"/>
                <w:szCs w:val="24"/>
              </w:rPr>
            </w:pPr>
          </w:p>
        </w:tc>
      </w:tr>
    </w:tbl>
    <w:p w:rsidR="000C134F" w:rsidRPr="002B7118" w:rsidRDefault="000C134F" w:rsidP="000C134F">
      <w:pPr>
        <w:spacing w:line="360" w:lineRule="auto"/>
        <w:jc w:val="both"/>
        <w:rPr>
          <w:rFonts w:ascii="Arial" w:hAnsi="Arial" w:cs="Arial"/>
          <w:sz w:val="24"/>
          <w:szCs w:val="24"/>
        </w:rPr>
      </w:pPr>
      <w:r>
        <w:rPr>
          <w:rFonts w:ascii="Arial" w:hAnsi="Arial" w:cs="Arial"/>
          <w:b/>
          <w:sz w:val="24"/>
          <w:szCs w:val="24"/>
        </w:rPr>
        <w:t xml:space="preserve">Fuente: </w:t>
      </w:r>
      <w:r w:rsidRPr="002B7118">
        <w:rPr>
          <w:rFonts w:ascii="Arial" w:hAnsi="Arial" w:cs="Arial"/>
          <w:sz w:val="24"/>
          <w:szCs w:val="24"/>
        </w:rPr>
        <w:t>Procesamiento estadístico</w:t>
      </w:r>
    </w:p>
    <w:p w:rsidR="00AD5AA8" w:rsidRDefault="004A3673" w:rsidP="009902EE">
      <w:pPr>
        <w:spacing w:line="360" w:lineRule="auto"/>
        <w:jc w:val="both"/>
        <w:rPr>
          <w:rFonts w:ascii="Arial" w:hAnsi="Arial" w:cs="Arial"/>
          <w:sz w:val="24"/>
          <w:szCs w:val="24"/>
        </w:rPr>
      </w:pPr>
      <w:r>
        <w:rPr>
          <w:rFonts w:ascii="Arial" w:hAnsi="Arial" w:cs="Arial"/>
          <w:sz w:val="24"/>
          <w:szCs w:val="24"/>
        </w:rPr>
        <w:t xml:space="preserve">Existieron diferencias significativas al comparar a los pacientes según el valor del cociente urea/creatinina estuviese por encima o no del punto de corte. La tasa de mortalidad fue mayor en aquellos pacientes que presentaron valores mayores a 36,5 (69,23% vs. 34,91%, respectivamente; </w:t>
      </w:r>
      <w:r w:rsidRPr="009553E9">
        <w:rPr>
          <w:rFonts w:ascii="Arial" w:hAnsi="Arial" w:cs="Arial"/>
          <w:sz w:val="24"/>
          <w:szCs w:val="24"/>
        </w:rPr>
        <w:t>p&lt;0,0001</w:t>
      </w:r>
      <w:r>
        <w:rPr>
          <w:rFonts w:ascii="Arial" w:hAnsi="Arial" w:cs="Arial"/>
          <w:sz w:val="24"/>
          <w:szCs w:val="24"/>
        </w:rPr>
        <w:t xml:space="preserve">). </w:t>
      </w:r>
    </w:p>
    <w:p w:rsidR="009902EE" w:rsidRDefault="004A3673" w:rsidP="009902EE">
      <w:pPr>
        <w:spacing w:line="360" w:lineRule="auto"/>
        <w:jc w:val="both"/>
        <w:rPr>
          <w:rFonts w:ascii="Arial" w:hAnsi="Arial" w:cs="Arial"/>
          <w:sz w:val="24"/>
          <w:szCs w:val="24"/>
        </w:rPr>
      </w:pPr>
      <w:r>
        <w:rPr>
          <w:rFonts w:ascii="Arial" w:hAnsi="Arial" w:cs="Arial"/>
          <w:sz w:val="24"/>
          <w:szCs w:val="24"/>
        </w:rPr>
        <w:t xml:space="preserve">Los pacientes con valores menores al punto de corte presentaron media y mediana de supervivencia de </w:t>
      </w:r>
      <w:r w:rsidR="001D4DC9">
        <w:rPr>
          <w:rFonts w:ascii="Arial" w:hAnsi="Arial" w:cs="Arial"/>
          <w:sz w:val="24"/>
          <w:szCs w:val="24"/>
        </w:rPr>
        <w:t>72,03±2,45 días y 89±4,95 días respectivamente. En cambio, los que tenían valores superiores al punto de corte presentaron media y medianas de supervivencia de 40,72±6,48 días y 37±6,30 días respectivamente.</w:t>
      </w:r>
    </w:p>
    <w:p w:rsidR="00D06A6C" w:rsidRPr="001D4DC9" w:rsidRDefault="00D06A6C" w:rsidP="00D06A6C">
      <w:pPr>
        <w:spacing w:line="360" w:lineRule="auto"/>
        <w:jc w:val="both"/>
        <w:rPr>
          <w:rFonts w:ascii="Arial" w:hAnsi="Arial" w:cs="Arial"/>
          <w:b/>
          <w:color w:val="FF0000"/>
          <w:sz w:val="24"/>
          <w:szCs w:val="24"/>
        </w:rPr>
      </w:pPr>
      <w:r w:rsidRPr="00D06A6C">
        <w:rPr>
          <w:rFonts w:ascii="Arial" w:hAnsi="Arial" w:cs="Arial"/>
          <w:b/>
          <w:sz w:val="24"/>
          <w:szCs w:val="24"/>
        </w:rPr>
        <w:t xml:space="preserve">Tabla </w:t>
      </w:r>
      <w:r w:rsidR="001D4DC9">
        <w:rPr>
          <w:rFonts w:ascii="Arial" w:hAnsi="Arial" w:cs="Arial"/>
          <w:b/>
          <w:sz w:val="24"/>
          <w:szCs w:val="24"/>
        </w:rPr>
        <w:t>7</w:t>
      </w:r>
      <w:r w:rsidRPr="00D06A6C">
        <w:rPr>
          <w:rFonts w:ascii="Arial" w:hAnsi="Arial" w:cs="Arial"/>
          <w:b/>
          <w:sz w:val="24"/>
          <w:szCs w:val="24"/>
        </w:rPr>
        <w:t xml:space="preserve">. </w:t>
      </w:r>
      <w:r w:rsidRPr="002B7118">
        <w:rPr>
          <w:rFonts w:ascii="Arial" w:hAnsi="Arial" w:cs="Arial"/>
          <w:sz w:val="24"/>
          <w:szCs w:val="24"/>
        </w:rPr>
        <w:t>Variables predictoras de mortalidad en pacientes con injuria renal aguda prer</w:t>
      </w:r>
      <w:r w:rsidR="00E30FF4" w:rsidRPr="002B7118">
        <w:rPr>
          <w:rFonts w:ascii="Arial" w:hAnsi="Arial" w:cs="Arial"/>
          <w:sz w:val="24"/>
          <w:szCs w:val="24"/>
        </w:rPr>
        <w:t>r</w:t>
      </w:r>
      <w:r w:rsidRPr="002B7118">
        <w:rPr>
          <w:rFonts w:ascii="Arial" w:hAnsi="Arial" w:cs="Arial"/>
          <w:sz w:val="24"/>
          <w:szCs w:val="24"/>
        </w:rPr>
        <w:t>enal. Análisis multivariado.</w:t>
      </w:r>
    </w:p>
    <w:tbl>
      <w:tblPr>
        <w:tblStyle w:val="Listaclara-nfasis5"/>
        <w:tblW w:w="0" w:type="auto"/>
        <w:tblLook w:val="04A0"/>
      </w:tblPr>
      <w:tblGrid>
        <w:gridCol w:w="2161"/>
        <w:gridCol w:w="1491"/>
        <w:gridCol w:w="851"/>
        <w:gridCol w:w="1701"/>
        <w:gridCol w:w="2126"/>
      </w:tblGrid>
      <w:tr w:rsidR="005116C3" w:rsidTr="005116C3">
        <w:trPr>
          <w:cnfStyle w:val="100000000000"/>
        </w:trPr>
        <w:tc>
          <w:tcPr>
            <w:cnfStyle w:val="001000000000"/>
            <w:tcW w:w="2161" w:type="dxa"/>
          </w:tcPr>
          <w:p w:rsidR="005116C3" w:rsidRDefault="005116C3" w:rsidP="004D272A">
            <w:pPr>
              <w:spacing w:line="360" w:lineRule="auto"/>
              <w:jc w:val="both"/>
              <w:rPr>
                <w:rFonts w:ascii="Arial" w:hAnsi="Arial" w:cs="Arial"/>
                <w:sz w:val="24"/>
                <w:szCs w:val="24"/>
              </w:rPr>
            </w:pPr>
            <w:r>
              <w:rPr>
                <w:rFonts w:ascii="Arial" w:hAnsi="Arial" w:cs="Arial"/>
                <w:sz w:val="24"/>
                <w:szCs w:val="24"/>
              </w:rPr>
              <w:t xml:space="preserve">Variables                     </w:t>
            </w:r>
          </w:p>
        </w:tc>
        <w:tc>
          <w:tcPr>
            <w:tcW w:w="1491" w:type="dxa"/>
            <w:tcBorders>
              <w:right w:val="single" w:sz="4" w:space="0" w:color="auto"/>
            </w:tcBorders>
          </w:tcPr>
          <w:p w:rsidR="005116C3" w:rsidRDefault="005116C3" w:rsidP="004D272A">
            <w:pPr>
              <w:spacing w:line="360" w:lineRule="auto"/>
              <w:jc w:val="both"/>
              <w:cnfStyle w:val="100000000000"/>
              <w:rPr>
                <w:rFonts w:ascii="Arial" w:hAnsi="Arial" w:cs="Arial"/>
                <w:sz w:val="24"/>
                <w:szCs w:val="24"/>
              </w:rPr>
            </w:pPr>
          </w:p>
        </w:tc>
        <w:tc>
          <w:tcPr>
            <w:tcW w:w="851" w:type="dxa"/>
            <w:tcBorders>
              <w:left w:val="single" w:sz="4" w:space="0" w:color="auto"/>
              <w:right w:val="single" w:sz="4" w:space="0" w:color="auto"/>
            </w:tcBorders>
          </w:tcPr>
          <w:p w:rsidR="005116C3" w:rsidRDefault="005116C3" w:rsidP="005116C3">
            <w:pPr>
              <w:spacing w:line="360" w:lineRule="auto"/>
              <w:ind w:left="136"/>
              <w:jc w:val="both"/>
              <w:cnfStyle w:val="100000000000"/>
              <w:rPr>
                <w:rFonts w:ascii="Arial" w:hAnsi="Arial" w:cs="Arial"/>
                <w:b w:val="0"/>
                <w:bCs w:val="0"/>
                <w:sz w:val="24"/>
                <w:szCs w:val="24"/>
              </w:rPr>
            </w:pPr>
            <w:r>
              <w:rPr>
                <w:rFonts w:ascii="Arial" w:hAnsi="Arial" w:cs="Arial"/>
                <w:sz w:val="24"/>
                <w:szCs w:val="24"/>
              </w:rPr>
              <w:t xml:space="preserve">p                             </w:t>
            </w:r>
          </w:p>
        </w:tc>
        <w:tc>
          <w:tcPr>
            <w:tcW w:w="1701" w:type="dxa"/>
            <w:tcBorders>
              <w:left w:val="single" w:sz="4" w:space="0" w:color="auto"/>
              <w:right w:val="single" w:sz="4" w:space="0" w:color="auto"/>
            </w:tcBorders>
          </w:tcPr>
          <w:p w:rsidR="005116C3" w:rsidRDefault="005116C3" w:rsidP="004D272A">
            <w:pPr>
              <w:spacing w:line="360" w:lineRule="auto"/>
              <w:jc w:val="both"/>
              <w:cnfStyle w:val="100000000000"/>
              <w:rPr>
                <w:rFonts w:ascii="Arial" w:hAnsi="Arial" w:cs="Arial"/>
                <w:sz w:val="24"/>
                <w:szCs w:val="24"/>
              </w:rPr>
            </w:pPr>
            <w:r>
              <w:rPr>
                <w:rFonts w:ascii="Arial" w:hAnsi="Arial" w:cs="Arial"/>
                <w:sz w:val="24"/>
                <w:szCs w:val="24"/>
              </w:rPr>
              <w:t>Hazard Ratio</w:t>
            </w:r>
          </w:p>
        </w:tc>
        <w:tc>
          <w:tcPr>
            <w:tcW w:w="2126" w:type="dxa"/>
            <w:tcBorders>
              <w:left w:val="single" w:sz="4" w:space="0" w:color="auto"/>
            </w:tcBorders>
          </w:tcPr>
          <w:p w:rsidR="005116C3" w:rsidRDefault="005116C3" w:rsidP="004D272A">
            <w:pPr>
              <w:spacing w:line="360" w:lineRule="auto"/>
              <w:jc w:val="both"/>
              <w:cnfStyle w:val="100000000000"/>
              <w:rPr>
                <w:rFonts w:ascii="Arial" w:hAnsi="Arial" w:cs="Arial"/>
                <w:sz w:val="24"/>
                <w:szCs w:val="24"/>
              </w:rPr>
            </w:pPr>
            <w:r>
              <w:rPr>
                <w:rFonts w:ascii="Arial" w:hAnsi="Arial" w:cs="Arial"/>
                <w:sz w:val="24"/>
                <w:szCs w:val="24"/>
              </w:rPr>
              <w:t xml:space="preserve">       IC de 95%</w:t>
            </w:r>
          </w:p>
        </w:tc>
      </w:tr>
      <w:tr w:rsidR="005116C3" w:rsidTr="005116C3">
        <w:trPr>
          <w:cnfStyle w:val="000000100000"/>
        </w:trPr>
        <w:tc>
          <w:tcPr>
            <w:cnfStyle w:val="001000000000"/>
            <w:tcW w:w="3652" w:type="dxa"/>
            <w:gridSpan w:val="2"/>
          </w:tcPr>
          <w:p w:rsidR="005116C3" w:rsidRPr="000C7420" w:rsidRDefault="005116C3" w:rsidP="004D272A">
            <w:pPr>
              <w:spacing w:line="360" w:lineRule="auto"/>
              <w:jc w:val="both"/>
              <w:rPr>
                <w:rFonts w:ascii="Arial" w:hAnsi="Arial" w:cs="Arial"/>
                <w:b w:val="0"/>
                <w:sz w:val="24"/>
                <w:szCs w:val="24"/>
              </w:rPr>
            </w:pPr>
            <w:r>
              <w:rPr>
                <w:rFonts w:ascii="Arial" w:hAnsi="Arial" w:cs="Arial"/>
                <w:b w:val="0"/>
                <w:sz w:val="24"/>
                <w:szCs w:val="24"/>
              </w:rPr>
              <w:t>Edad</w:t>
            </w:r>
          </w:p>
        </w:tc>
        <w:tc>
          <w:tcPr>
            <w:tcW w:w="851" w:type="dxa"/>
            <w:tcBorders>
              <w:left w:val="single" w:sz="4" w:space="0" w:color="auto"/>
              <w:right w:val="single" w:sz="4" w:space="0" w:color="auto"/>
            </w:tcBorders>
          </w:tcPr>
          <w:p w:rsidR="005116C3" w:rsidRDefault="005116C3" w:rsidP="00CE702D">
            <w:pPr>
              <w:spacing w:line="360" w:lineRule="auto"/>
              <w:ind w:left="1"/>
              <w:jc w:val="both"/>
              <w:cnfStyle w:val="000000100000"/>
              <w:rPr>
                <w:rFonts w:ascii="Arial" w:hAnsi="Arial" w:cs="Arial"/>
                <w:sz w:val="24"/>
                <w:szCs w:val="24"/>
              </w:rPr>
            </w:pPr>
            <w:r>
              <w:rPr>
                <w:rFonts w:ascii="Arial" w:hAnsi="Arial" w:cs="Arial"/>
                <w:sz w:val="24"/>
                <w:szCs w:val="24"/>
              </w:rPr>
              <w:t>,0</w:t>
            </w:r>
            <w:r w:rsidR="00CE702D">
              <w:rPr>
                <w:rFonts w:ascii="Arial" w:hAnsi="Arial" w:cs="Arial"/>
                <w:sz w:val="24"/>
                <w:szCs w:val="24"/>
              </w:rPr>
              <w:t>5</w:t>
            </w:r>
            <w:r>
              <w:rPr>
                <w:rFonts w:ascii="Arial" w:hAnsi="Arial" w:cs="Arial"/>
                <w:sz w:val="24"/>
                <w:szCs w:val="24"/>
              </w:rPr>
              <w:t>0</w:t>
            </w:r>
          </w:p>
        </w:tc>
        <w:tc>
          <w:tcPr>
            <w:tcW w:w="1701" w:type="dxa"/>
            <w:tcBorders>
              <w:left w:val="single" w:sz="4" w:space="0" w:color="auto"/>
              <w:right w:val="single" w:sz="4" w:space="0" w:color="auto"/>
            </w:tcBorders>
          </w:tcPr>
          <w:p w:rsidR="005116C3" w:rsidRDefault="005116C3" w:rsidP="005116C3">
            <w:pPr>
              <w:spacing w:line="360" w:lineRule="auto"/>
              <w:jc w:val="center"/>
              <w:cnfStyle w:val="000000100000"/>
              <w:rPr>
                <w:rFonts w:ascii="Arial" w:hAnsi="Arial" w:cs="Arial"/>
                <w:sz w:val="24"/>
                <w:szCs w:val="24"/>
              </w:rPr>
            </w:pPr>
            <w:r>
              <w:rPr>
                <w:rFonts w:ascii="Arial" w:hAnsi="Arial" w:cs="Arial"/>
                <w:sz w:val="24"/>
                <w:szCs w:val="24"/>
              </w:rPr>
              <w:t>,836</w:t>
            </w:r>
          </w:p>
        </w:tc>
        <w:tc>
          <w:tcPr>
            <w:tcW w:w="2126" w:type="dxa"/>
            <w:tcBorders>
              <w:left w:val="single" w:sz="4" w:space="0" w:color="auto"/>
            </w:tcBorders>
          </w:tcPr>
          <w:p w:rsidR="005116C3" w:rsidRDefault="005116C3" w:rsidP="004D272A">
            <w:pPr>
              <w:spacing w:line="360" w:lineRule="auto"/>
              <w:jc w:val="both"/>
              <w:cnfStyle w:val="000000100000"/>
              <w:rPr>
                <w:rFonts w:ascii="Arial" w:hAnsi="Arial" w:cs="Arial"/>
                <w:sz w:val="24"/>
                <w:szCs w:val="24"/>
              </w:rPr>
            </w:pPr>
            <w:r>
              <w:rPr>
                <w:rFonts w:ascii="Arial" w:hAnsi="Arial" w:cs="Arial"/>
                <w:sz w:val="24"/>
                <w:szCs w:val="24"/>
              </w:rPr>
              <w:t xml:space="preserve">       ,804-1,056</w:t>
            </w:r>
          </w:p>
        </w:tc>
      </w:tr>
      <w:tr w:rsidR="005116C3" w:rsidTr="005116C3">
        <w:tc>
          <w:tcPr>
            <w:cnfStyle w:val="001000000000"/>
            <w:tcW w:w="3652" w:type="dxa"/>
            <w:gridSpan w:val="2"/>
          </w:tcPr>
          <w:p w:rsidR="005116C3" w:rsidRPr="000C7420" w:rsidRDefault="005116C3" w:rsidP="004D272A">
            <w:pPr>
              <w:spacing w:line="360" w:lineRule="auto"/>
              <w:jc w:val="both"/>
              <w:rPr>
                <w:rFonts w:ascii="Arial" w:hAnsi="Arial" w:cs="Arial"/>
                <w:b w:val="0"/>
                <w:sz w:val="24"/>
                <w:szCs w:val="24"/>
              </w:rPr>
            </w:pPr>
            <w:r w:rsidRPr="000C7420">
              <w:rPr>
                <w:rFonts w:ascii="Arial" w:hAnsi="Arial" w:cs="Arial"/>
                <w:b w:val="0"/>
                <w:sz w:val="24"/>
                <w:szCs w:val="24"/>
              </w:rPr>
              <w:t>ERC previa</w:t>
            </w:r>
          </w:p>
        </w:tc>
        <w:tc>
          <w:tcPr>
            <w:tcW w:w="851" w:type="dxa"/>
            <w:tcBorders>
              <w:left w:val="single" w:sz="4" w:space="0" w:color="auto"/>
              <w:right w:val="single" w:sz="4" w:space="0" w:color="auto"/>
            </w:tcBorders>
          </w:tcPr>
          <w:p w:rsidR="005116C3" w:rsidRDefault="005116C3" w:rsidP="005116C3">
            <w:pPr>
              <w:spacing w:line="360" w:lineRule="auto"/>
              <w:ind w:left="1"/>
              <w:jc w:val="both"/>
              <w:cnfStyle w:val="000000000000"/>
              <w:rPr>
                <w:rFonts w:ascii="Arial" w:hAnsi="Arial" w:cs="Arial"/>
                <w:sz w:val="24"/>
                <w:szCs w:val="24"/>
              </w:rPr>
            </w:pPr>
            <w:r>
              <w:rPr>
                <w:rFonts w:ascii="Arial" w:hAnsi="Arial" w:cs="Arial"/>
                <w:sz w:val="24"/>
                <w:szCs w:val="24"/>
              </w:rPr>
              <w:t>,000</w:t>
            </w:r>
          </w:p>
        </w:tc>
        <w:tc>
          <w:tcPr>
            <w:tcW w:w="1701" w:type="dxa"/>
            <w:tcBorders>
              <w:left w:val="single" w:sz="4" w:space="0" w:color="auto"/>
              <w:right w:val="single" w:sz="4" w:space="0" w:color="auto"/>
            </w:tcBorders>
          </w:tcPr>
          <w:p w:rsidR="005116C3" w:rsidRDefault="005116C3" w:rsidP="005116C3">
            <w:pPr>
              <w:spacing w:line="360" w:lineRule="auto"/>
              <w:jc w:val="center"/>
              <w:cnfStyle w:val="000000000000"/>
              <w:rPr>
                <w:rFonts w:ascii="Arial" w:hAnsi="Arial" w:cs="Arial"/>
                <w:sz w:val="24"/>
                <w:szCs w:val="24"/>
              </w:rPr>
            </w:pPr>
            <w:r>
              <w:rPr>
                <w:rFonts w:ascii="Arial" w:hAnsi="Arial" w:cs="Arial"/>
                <w:sz w:val="24"/>
                <w:szCs w:val="24"/>
              </w:rPr>
              <w:t>2,390</w:t>
            </w:r>
          </w:p>
        </w:tc>
        <w:tc>
          <w:tcPr>
            <w:tcW w:w="2126" w:type="dxa"/>
            <w:tcBorders>
              <w:left w:val="single" w:sz="4" w:space="0" w:color="auto"/>
            </w:tcBorders>
          </w:tcPr>
          <w:p w:rsidR="005116C3" w:rsidRDefault="005116C3" w:rsidP="004D272A">
            <w:pPr>
              <w:spacing w:line="360" w:lineRule="auto"/>
              <w:jc w:val="both"/>
              <w:cnfStyle w:val="000000000000"/>
              <w:rPr>
                <w:rFonts w:ascii="Arial" w:hAnsi="Arial" w:cs="Arial"/>
                <w:sz w:val="24"/>
                <w:szCs w:val="24"/>
              </w:rPr>
            </w:pPr>
            <w:r>
              <w:rPr>
                <w:rFonts w:ascii="Arial" w:hAnsi="Arial" w:cs="Arial"/>
                <w:sz w:val="24"/>
                <w:szCs w:val="24"/>
              </w:rPr>
              <w:t xml:space="preserve">      1,538-3,204</w:t>
            </w:r>
          </w:p>
        </w:tc>
      </w:tr>
      <w:tr w:rsidR="005116C3" w:rsidTr="005116C3">
        <w:trPr>
          <w:cnfStyle w:val="000000100000"/>
        </w:trPr>
        <w:tc>
          <w:tcPr>
            <w:cnfStyle w:val="001000000000"/>
            <w:tcW w:w="3652" w:type="dxa"/>
            <w:gridSpan w:val="2"/>
          </w:tcPr>
          <w:p w:rsidR="005116C3" w:rsidRPr="000C7420" w:rsidRDefault="005116C3" w:rsidP="004D272A">
            <w:pPr>
              <w:spacing w:line="360" w:lineRule="auto"/>
              <w:jc w:val="both"/>
              <w:rPr>
                <w:rFonts w:ascii="Arial" w:hAnsi="Arial" w:cs="Arial"/>
                <w:b w:val="0"/>
                <w:sz w:val="24"/>
                <w:szCs w:val="24"/>
              </w:rPr>
            </w:pPr>
            <w:r>
              <w:rPr>
                <w:rFonts w:ascii="Arial" w:hAnsi="Arial" w:cs="Arial"/>
                <w:b w:val="0"/>
                <w:sz w:val="24"/>
                <w:szCs w:val="24"/>
              </w:rPr>
              <w:t>Hipoalbuminemia</w:t>
            </w:r>
          </w:p>
        </w:tc>
        <w:tc>
          <w:tcPr>
            <w:tcW w:w="851" w:type="dxa"/>
            <w:tcBorders>
              <w:left w:val="single" w:sz="4" w:space="0" w:color="auto"/>
              <w:right w:val="single" w:sz="4" w:space="0" w:color="auto"/>
            </w:tcBorders>
          </w:tcPr>
          <w:p w:rsidR="005116C3" w:rsidRDefault="005116C3" w:rsidP="005116C3">
            <w:pPr>
              <w:spacing w:line="360" w:lineRule="auto"/>
              <w:ind w:left="1"/>
              <w:jc w:val="both"/>
              <w:cnfStyle w:val="000000100000"/>
              <w:rPr>
                <w:rFonts w:ascii="Arial" w:hAnsi="Arial" w:cs="Arial"/>
                <w:sz w:val="24"/>
                <w:szCs w:val="24"/>
              </w:rPr>
            </w:pPr>
            <w:r>
              <w:rPr>
                <w:rFonts w:ascii="Arial" w:hAnsi="Arial" w:cs="Arial"/>
                <w:sz w:val="24"/>
                <w:szCs w:val="24"/>
              </w:rPr>
              <w:t>,006</w:t>
            </w:r>
          </w:p>
        </w:tc>
        <w:tc>
          <w:tcPr>
            <w:tcW w:w="1701" w:type="dxa"/>
            <w:tcBorders>
              <w:left w:val="single" w:sz="4" w:space="0" w:color="auto"/>
              <w:right w:val="single" w:sz="4" w:space="0" w:color="auto"/>
            </w:tcBorders>
          </w:tcPr>
          <w:p w:rsidR="005116C3" w:rsidRDefault="005116C3" w:rsidP="005116C3">
            <w:pPr>
              <w:spacing w:line="360" w:lineRule="auto"/>
              <w:jc w:val="center"/>
              <w:cnfStyle w:val="000000100000"/>
              <w:rPr>
                <w:rFonts w:ascii="Arial" w:hAnsi="Arial" w:cs="Arial"/>
                <w:sz w:val="24"/>
                <w:szCs w:val="24"/>
              </w:rPr>
            </w:pPr>
            <w:r>
              <w:rPr>
                <w:rFonts w:ascii="Arial" w:hAnsi="Arial" w:cs="Arial"/>
                <w:sz w:val="24"/>
                <w:szCs w:val="24"/>
              </w:rPr>
              <w:t>1,342</w:t>
            </w:r>
          </w:p>
        </w:tc>
        <w:tc>
          <w:tcPr>
            <w:tcW w:w="2126" w:type="dxa"/>
            <w:tcBorders>
              <w:left w:val="single" w:sz="4" w:space="0" w:color="auto"/>
            </w:tcBorders>
          </w:tcPr>
          <w:p w:rsidR="005116C3" w:rsidRDefault="005116C3" w:rsidP="001D4DC9">
            <w:pPr>
              <w:spacing w:line="360" w:lineRule="auto"/>
              <w:jc w:val="both"/>
              <w:cnfStyle w:val="000000100000"/>
              <w:rPr>
                <w:rFonts w:ascii="Arial" w:hAnsi="Arial" w:cs="Arial"/>
                <w:sz w:val="24"/>
                <w:szCs w:val="24"/>
              </w:rPr>
            </w:pPr>
            <w:r>
              <w:rPr>
                <w:rFonts w:ascii="Arial" w:hAnsi="Arial" w:cs="Arial"/>
                <w:sz w:val="24"/>
                <w:szCs w:val="24"/>
              </w:rPr>
              <w:t xml:space="preserve">       1,087-1,750</w:t>
            </w:r>
          </w:p>
        </w:tc>
      </w:tr>
      <w:tr w:rsidR="005116C3" w:rsidTr="005116C3">
        <w:tc>
          <w:tcPr>
            <w:cnfStyle w:val="001000000000"/>
            <w:tcW w:w="3652" w:type="dxa"/>
            <w:gridSpan w:val="2"/>
          </w:tcPr>
          <w:p w:rsidR="005116C3" w:rsidRPr="000C7420" w:rsidRDefault="005116C3" w:rsidP="004D272A">
            <w:pPr>
              <w:spacing w:line="360" w:lineRule="auto"/>
              <w:jc w:val="both"/>
              <w:rPr>
                <w:rFonts w:ascii="Arial" w:hAnsi="Arial" w:cs="Arial"/>
                <w:b w:val="0"/>
                <w:sz w:val="24"/>
                <w:szCs w:val="24"/>
              </w:rPr>
            </w:pPr>
            <w:r>
              <w:rPr>
                <w:rFonts w:ascii="Arial" w:hAnsi="Arial" w:cs="Arial"/>
                <w:b w:val="0"/>
                <w:sz w:val="24"/>
                <w:szCs w:val="24"/>
              </w:rPr>
              <w:t>Oligoanuria</w:t>
            </w:r>
          </w:p>
        </w:tc>
        <w:tc>
          <w:tcPr>
            <w:tcW w:w="851" w:type="dxa"/>
            <w:tcBorders>
              <w:left w:val="single" w:sz="4" w:space="0" w:color="auto"/>
              <w:right w:val="single" w:sz="4" w:space="0" w:color="auto"/>
            </w:tcBorders>
          </w:tcPr>
          <w:p w:rsidR="005116C3" w:rsidRDefault="005116C3" w:rsidP="005116C3">
            <w:pPr>
              <w:spacing w:line="360" w:lineRule="auto"/>
              <w:ind w:left="1"/>
              <w:jc w:val="both"/>
              <w:cnfStyle w:val="000000000000"/>
              <w:rPr>
                <w:rFonts w:ascii="Arial" w:hAnsi="Arial" w:cs="Arial"/>
                <w:sz w:val="24"/>
                <w:szCs w:val="24"/>
              </w:rPr>
            </w:pPr>
            <w:r>
              <w:rPr>
                <w:rFonts w:ascii="Arial" w:hAnsi="Arial" w:cs="Arial"/>
                <w:sz w:val="24"/>
                <w:szCs w:val="24"/>
              </w:rPr>
              <w:t>,080</w:t>
            </w:r>
          </w:p>
        </w:tc>
        <w:tc>
          <w:tcPr>
            <w:tcW w:w="1701" w:type="dxa"/>
            <w:tcBorders>
              <w:left w:val="single" w:sz="4" w:space="0" w:color="auto"/>
              <w:right w:val="single" w:sz="4" w:space="0" w:color="auto"/>
            </w:tcBorders>
          </w:tcPr>
          <w:p w:rsidR="005116C3" w:rsidRDefault="005116C3" w:rsidP="005116C3">
            <w:pPr>
              <w:spacing w:line="360" w:lineRule="auto"/>
              <w:jc w:val="center"/>
              <w:cnfStyle w:val="000000000000"/>
              <w:rPr>
                <w:rFonts w:ascii="Arial" w:hAnsi="Arial" w:cs="Arial"/>
                <w:sz w:val="24"/>
                <w:szCs w:val="24"/>
              </w:rPr>
            </w:pPr>
            <w:r>
              <w:rPr>
                <w:rFonts w:ascii="Arial" w:hAnsi="Arial" w:cs="Arial"/>
                <w:sz w:val="24"/>
                <w:szCs w:val="24"/>
              </w:rPr>
              <w:t>,927</w:t>
            </w:r>
          </w:p>
        </w:tc>
        <w:tc>
          <w:tcPr>
            <w:tcW w:w="2126" w:type="dxa"/>
            <w:tcBorders>
              <w:left w:val="single" w:sz="4" w:space="0" w:color="auto"/>
            </w:tcBorders>
          </w:tcPr>
          <w:p w:rsidR="005116C3" w:rsidRDefault="005116C3" w:rsidP="004D272A">
            <w:pPr>
              <w:spacing w:line="360" w:lineRule="auto"/>
              <w:jc w:val="both"/>
              <w:cnfStyle w:val="000000000000"/>
              <w:rPr>
                <w:rFonts w:ascii="Arial" w:hAnsi="Arial" w:cs="Arial"/>
                <w:sz w:val="24"/>
                <w:szCs w:val="24"/>
              </w:rPr>
            </w:pPr>
            <w:r>
              <w:rPr>
                <w:rFonts w:ascii="Arial" w:hAnsi="Arial" w:cs="Arial"/>
                <w:sz w:val="24"/>
                <w:szCs w:val="24"/>
              </w:rPr>
              <w:t xml:space="preserve">       ,923-1,320</w:t>
            </w:r>
          </w:p>
        </w:tc>
      </w:tr>
      <w:tr w:rsidR="005116C3" w:rsidTr="005116C3">
        <w:trPr>
          <w:cnfStyle w:val="000000100000"/>
        </w:trPr>
        <w:tc>
          <w:tcPr>
            <w:cnfStyle w:val="001000000000"/>
            <w:tcW w:w="3652" w:type="dxa"/>
            <w:gridSpan w:val="2"/>
          </w:tcPr>
          <w:p w:rsidR="005116C3" w:rsidRPr="000C7420" w:rsidRDefault="005116C3" w:rsidP="004D272A">
            <w:pPr>
              <w:spacing w:line="360" w:lineRule="auto"/>
              <w:jc w:val="both"/>
              <w:rPr>
                <w:rFonts w:ascii="Arial" w:hAnsi="Arial" w:cs="Arial"/>
                <w:b w:val="0"/>
                <w:sz w:val="24"/>
                <w:szCs w:val="24"/>
              </w:rPr>
            </w:pPr>
            <w:r>
              <w:rPr>
                <w:rFonts w:ascii="Arial" w:hAnsi="Arial" w:cs="Arial"/>
                <w:b w:val="0"/>
                <w:sz w:val="24"/>
                <w:szCs w:val="24"/>
              </w:rPr>
              <w:t>Hiperpotasemia</w:t>
            </w:r>
          </w:p>
        </w:tc>
        <w:tc>
          <w:tcPr>
            <w:tcW w:w="851" w:type="dxa"/>
            <w:tcBorders>
              <w:left w:val="single" w:sz="4" w:space="0" w:color="auto"/>
              <w:right w:val="single" w:sz="4" w:space="0" w:color="auto"/>
            </w:tcBorders>
          </w:tcPr>
          <w:p w:rsidR="005116C3" w:rsidRDefault="005116C3" w:rsidP="005116C3">
            <w:pPr>
              <w:spacing w:line="360" w:lineRule="auto"/>
              <w:ind w:left="1"/>
              <w:jc w:val="both"/>
              <w:cnfStyle w:val="000000100000"/>
              <w:rPr>
                <w:rFonts w:ascii="Arial" w:hAnsi="Arial" w:cs="Arial"/>
                <w:sz w:val="24"/>
                <w:szCs w:val="24"/>
              </w:rPr>
            </w:pPr>
            <w:r>
              <w:rPr>
                <w:rFonts w:ascii="Arial" w:hAnsi="Arial" w:cs="Arial"/>
                <w:sz w:val="24"/>
                <w:szCs w:val="24"/>
              </w:rPr>
              <w:t>,025</w:t>
            </w:r>
          </w:p>
        </w:tc>
        <w:tc>
          <w:tcPr>
            <w:tcW w:w="1701" w:type="dxa"/>
            <w:tcBorders>
              <w:left w:val="single" w:sz="4" w:space="0" w:color="auto"/>
              <w:right w:val="single" w:sz="4" w:space="0" w:color="auto"/>
            </w:tcBorders>
          </w:tcPr>
          <w:p w:rsidR="005116C3" w:rsidRDefault="005116C3" w:rsidP="005116C3">
            <w:pPr>
              <w:spacing w:line="360" w:lineRule="auto"/>
              <w:jc w:val="center"/>
              <w:cnfStyle w:val="000000100000"/>
              <w:rPr>
                <w:rFonts w:ascii="Arial" w:hAnsi="Arial" w:cs="Arial"/>
                <w:sz w:val="24"/>
                <w:szCs w:val="24"/>
              </w:rPr>
            </w:pPr>
            <w:r>
              <w:rPr>
                <w:rFonts w:ascii="Arial" w:hAnsi="Arial" w:cs="Arial"/>
                <w:sz w:val="24"/>
                <w:szCs w:val="24"/>
              </w:rPr>
              <w:t>1,228</w:t>
            </w:r>
          </w:p>
        </w:tc>
        <w:tc>
          <w:tcPr>
            <w:tcW w:w="2126" w:type="dxa"/>
            <w:tcBorders>
              <w:left w:val="single" w:sz="4" w:space="0" w:color="auto"/>
            </w:tcBorders>
          </w:tcPr>
          <w:p w:rsidR="005116C3" w:rsidRDefault="005116C3" w:rsidP="004D272A">
            <w:pPr>
              <w:spacing w:line="360" w:lineRule="auto"/>
              <w:jc w:val="both"/>
              <w:cnfStyle w:val="000000100000"/>
              <w:rPr>
                <w:rFonts w:ascii="Arial" w:hAnsi="Arial" w:cs="Arial"/>
                <w:sz w:val="24"/>
                <w:szCs w:val="24"/>
              </w:rPr>
            </w:pPr>
            <w:r>
              <w:rPr>
                <w:rFonts w:ascii="Arial" w:hAnsi="Arial" w:cs="Arial"/>
                <w:sz w:val="24"/>
                <w:szCs w:val="24"/>
              </w:rPr>
              <w:t xml:space="preserve">      1,060-1,524</w:t>
            </w:r>
          </w:p>
        </w:tc>
      </w:tr>
      <w:tr w:rsidR="005116C3" w:rsidTr="005116C3">
        <w:tc>
          <w:tcPr>
            <w:cnfStyle w:val="001000000000"/>
            <w:tcW w:w="3652" w:type="dxa"/>
            <w:gridSpan w:val="2"/>
          </w:tcPr>
          <w:p w:rsidR="005116C3" w:rsidRPr="000C7420" w:rsidRDefault="005116C3" w:rsidP="004D272A">
            <w:pPr>
              <w:spacing w:line="360" w:lineRule="auto"/>
              <w:jc w:val="both"/>
              <w:rPr>
                <w:rFonts w:ascii="Arial" w:hAnsi="Arial" w:cs="Arial"/>
                <w:b w:val="0"/>
                <w:sz w:val="24"/>
                <w:szCs w:val="24"/>
              </w:rPr>
            </w:pPr>
            <w:r>
              <w:rPr>
                <w:rFonts w:ascii="Arial" w:hAnsi="Arial" w:cs="Arial"/>
                <w:b w:val="0"/>
                <w:sz w:val="24"/>
                <w:szCs w:val="24"/>
              </w:rPr>
              <w:t>Acidemia metabólica</w:t>
            </w:r>
          </w:p>
        </w:tc>
        <w:tc>
          <w:tcPr>
            <w:tcW w:w="851" w:type="dxa"/>
            <w:tcBorders>
              <w:left w:val="single" w:sz="4" w:space="0" w:color="auto"/>
              <w:right w:val="single" w:sz="4" w:space="0" w:color="auto"/>
            </w:tcBorders>
          </w:tcPr>
          <w:p w:rsidR="005116C3" w:rsidRDefault="005116C3" w:rsidP="005116C3">
            <w:pPr>
              <w:spacing w:line="360" w:lineRule="auto"/>
              <w:ind w:left="1"/>
              <w:jc w:val="both"/>
              <w:cnfStyle w:val="000000000000"/>
              <w:rPr>
                <w:rFonts w:ascii="Arial" w:hAnsi="Arial" w:cs="Arial"/>
                <w:sz w:val="24"/>
                <w:szCs w:val="24"/>
              </w:rPr>
            </w:pPr>
            <w:r>
              <w:rPr>
                <w:rFonts w:ascii="Arial" w:hAnsi="Arial" w:cs="Arial"/>
                <w:sz w:val="24"/>
                <w:szCs w:val="24"/>
              </w:rPr>
              <w:t>,002</w:t>
            </w:r>
          </w:p>
        </w:tc>
        <w:tc>
          <w:tcPr>
            <w:tcW w:w="1701" w:type="dxa"/>
            <w:tcBorders>
              <w:left w:val="single" w:sz="4" w:space="0" w:color="auto"/>
              <w:right w:val="single" w:sz="4" w:space="0" w:color="auto"/>
            </w:tcBorders>
          </w:tcPr>
          <w:p w:rsidR="005116C3" w:rsidRDefault="005116C3" w:rsidP="005116C3">
            <w:pPr>
              <w:spacing w:line="360" w:lineRule="auto"/>
              <w:jc w:val="center"/>
              <w:cnfStyle w:val="000000000000"/>
              <w:rPr>
                <w:rFonts w:ascii="Arial" w:hAnsi="Arial" w:cs="Arial"/>
                <w:sz w:val="24"/>
                <w:szCs w:val="24"/>
              </w:rPr>
            </w:pPr>
            <w:r>
              <w:rPr>
                <w:rFonts w:ascii="Arial" w:hAnsi="Arial" w:cs="Arial"/>
                <w:sz w:val="24"/>
                <w:szCs w:val="24"/>
              </w:rPr>
              <w:t>1,625</w:t>
            </w:r>
          </w:p>
        </w:tc>
        <w:tc>
          <w:tcPr>
            <w:tcW w:w="2126" w:type="dxa"/>
            <w:tcBorders>
              <w:left w:val="single" w:sz="4" w:space="0" w:color="auto"/>
            </w:tcBorders>
          </w:tcPr>
          <w:p w:rsidR="005116C3" w:rsidRDefault="005116C3" w:rsidP="004D272A">
            <w:pPr>
              <w:spacing w:line="360" w:lineRule="auto"/>
              <w:jc w:val="both"/>
              <w:cnfStyle w:val="000000000000"/>
              <w:rPr>
                <w:rFonts w:ascii="Arial" w:hAnsi="Arial" w:cs="Arial"/>
                <w:sz w:val="24"/>
                <w:szCs w:val="24"/>
              </w:rPr>
            </w:pPr>
            <w:r>
              <w:rPr>
                <w:rFonts w:ascii="Arial" w:hAnsi="Arial" w:cs="Arial"/>
                <w:sz w:val="24"/>
                <w:szCs w:val="24"/>
              </w:rPr>
              <w:t xml:space="preserve">      1,248-1,750</w:t>
            </w:r>
          </w:p>
        </w:tc>
      </w:tr>
      <w:tr w:rsidR="005116C3" w:rsidTr="005116C3">
        <w:trPr>
          <w:cnfStyle w:val="000000100000"/>
        </w:trPr>
        <w:tc>
          <w:tcPr>
            <w:cnfStyle w:val="001000000000"/>
            <w:tcW w:w="3652" w:type="dxa"/>
            <w:gridSpan w:val="2"/>
          </w:tcPr>
          <w:p w:rsidR="005116C3" w:rsidRPr="00CC5150" w:rsidRDefault="005116C3" w:rsidP="004D272A">
            <w:pPr>
              <w:spacing w:line="360" w:lineRule="auto"/>
              <w:jc w:val="both"/>
              <w:rPr>
                <w:rFonts w:ascii="Arial" w:hAnsi="Arial" w:cs="Arial"/>
                <w:b w:val="0"/>
                <w:sz w:val="24"/>
                <w:szCs w:val="24"/>
              </w:rPr>
            </w:pPr>
            <w:r w:rsidRPr="00CC5150">
              <w:rPr>
                <w:rFonts w:ascii="Arial" w:hAnsi="Arial" w:cs="Arial"/>
                <w:b w:val="0"/>
                <w:sz w:val="24"/>
                <w:szCs w:val="24"/>
              </w:rPr>
              <w:t xml:space="preserve">Cociente </w:t>
            </w:r>
            <w:r>
              <w:rPr>
                <w:rFonts w:ascii="Arial" w:hAnsi="Arial" w:cs="Arial"/>
                <w:b w:val="0"/>
                <w:sz w:val="24"/>
                <w:szCs w:val="24"/>
              </w:rPr>
              <w:t>urea/creatinina &gt; 36,5</w:t>
            </w:r>
          </w:p>
        </w:tc>
        <w:tc>
          <w:tcPr>
            <w:tcW w:w="851" w:type="dxa"/>
            <w:tcBorders>
              <w:left w:val="single" w:sz="4" w:space="0" w:color="auto"/>
              <w:right w:val="single" w:sz="4" w:space="0" w:color="auto"/>
            </w:tcBorders>
          </w:tcPr>
          <w:p w:rsidR="005116C3" w:rsidRDefault="005116C3" w:rsidP="005116C3">
            <w:pPr>
              <w:spacing w:line="360" w:lineRule="auto"/>
              <w:ind w:left="1"/>
              <w:jc w:val="both"/>
              <w:cnfStyle w:val="000000100000"/>
              <w:rPr>
                <w:rFonts w:ascii="Arial" w:hAnsi="Arial" w:cs="Arial"/>
                <w:sz w:val="24"/>
                <w:szCs w:val="24"/>
              </w:rPr>
            </w:pPr>
            <w:r>
              <w:rPr>
                <w:rFonts w:ascii="Arial" w:hAnsi="Arial" w:cs="Arial"/>
                <w:sz w:val="24"/>
                <w:szCs w:val="24"/>
              </w:rPr>
              <w:t>,000</w:t>
            </w:r>
          </w:p>
        </w:tc>
        <w:tc>
          <w:tcPr>
            <w:tcW w:w="1701" w:type="dxa"/>
            <w:tcBorders>
              <w:left w:val="single" w:sz="4" w:space="0" w:color="auto"/>
              <w:right w:val="single" w:sz="4" w:space="0" w:color="auto"/>
            </w:tcBorders>
          </w:tcPr>
          <w:p w:rsidR="005116C3" w:rsidRPr="002B7118" w:rsidRDefault="005116C3" w:rsidP="005116C3">
            <w:pPr>
              <w:spacing w:line="360" w:lineRule="auto"/>
              <w:jc w:val="center"/>
              <w:cnfStyle w:val="000000100000"/>
              <w:rPr>
                <w:rFonts w:ascii="Arial" w:hAnsi="Arial" w:cs="Arial"/>
                <w:sz w:val="24"/>
                <w:szCs w:val="24"/>
              </w:rPr>
            </w:pPr>
            <w:r w:rsidRPr="002B7118">
              <w:rPr>
                <w:rFonts w:ascii="Arial" w:hAnsi="Arial" w:cs="Arial"/>
                <w:sz w:val="24"/>
                <w:szCs w:val="24"/>
              </w:rPr>
              <w:t>2,215</w:t>
            </w:r>
          </w:p>
        </w:tc>
        <w:tc>
          <w:tcPr>
            <w:tcW w:w="2126" w:type="dxa"/>
            <w:tcBorders>
              <w:left w:val="single" w:sz="4" w:space="0" w:color="auto"/>
            </w:tcBorders>
          </w:tcPr>
          <w:p w:rsidR="005116C3" w:rsidRDefault="005116C3" w:rsidP="004D272A">
            <w:pPr>
              <w:spacing w:line="360" w:lineRule="auto"/>
              <w:jc w:val="both"/>
              <w:cnfStyle w:val="000000100000"/>
              <w:rPr>
                <w:rFonts w:ascii="Arial" w:hAnsi="Arial" w:cs="Arial"/>
                <w:sz w:val="24"/>
                <w:szCs w:val="24"/>
              </w:rPr>
            </w:pPr>
            <w:r>
              <w:rPr>
                <w:rFonts w:ascii="Arial" w:hAnsi="Arial" w:cs="Arial"/>
                <w:sz w:val="24"/>
                <w:szCs w:val="24"/>
              </w:rPr>
              <w:t xml:space="preserve">      2,105-3,060</w:t>
            </w:r>
          </w:p>
        </w:tc>
      </w:tr>
    </w:tbl>
    <w:p w:rsidR="00D06A6C" w:rsidRDefault="00D06A6C" w:rsidP="00D06A6C">
      <w:pPr>
        <w:spacing w:line="360" w:lineRule="auto"/>
        <w:jc w:val="both"/>
        <w:rPr>
          <w:rFonts w:ascii="Arial" w:hAnsi="Arial" w:cs="Arial"/>
          <w:b/>
          <w:sz w:val="24"/>
          <w:szCs w:val="24"/>
        </w:rPr>
      </w:pPr>
      <w:r w:rsidRPr="00A11266">
        <w:rPr>
          <w:rFonts w:ascii="Arial" w:hAnsi="Arial" w:cs="Arial"/>
          <w:b/>
          <w:sz w:val="24"/>
          <w:szCs w:val="24"/>
        </w:rPr>
        <w:t xml:space="preserve">Fuente: </w:t>
      </w:r>
      <w:r w:rsidRPr="002B7118">
        <w:rPr>
          <w:rFonts w:ascii="Arial" w:hAnsi="Arial" w:cs="Arial"/>
          <w:sz w:val="24"/>
          <w:szCs w:val="24"/>
        </w:rPr>
        <w:t>Procesamiento estadístico</w:t>
      </w:r>
    </w:p>
    <w:p w:rsidR="0064096B" w:rsidRDefault="0064096B" w:rsidP="00D06A6C">
      <w:pPr>
        <w:spacing w:line="360" w:lineRule="auto"/>
        <w:jc w:val="both"/>
        <w:rPr>
          <w:rFonts w:ascii="Arial" w:hAnsi="Arial" w:cs="Arial"/>
          <w:sz w:val="24"/>
          <w:szCs w:val="24"/>
        </w:rPr>
      </w:pPr>
    </w:p>
    <w:p w:rsidR="001D4DC9" w:rsidRDefault="00587139" w:rsidP="00587139">
      <w:pPr>
        <w:spacing w:line="360" w:lineRule="auto"/>
        <w:jc w:val="both"/>
        <w:rPr>
          <w:rFonts w:ascii="Arial" w:hAnsi="Arial" w:cs="Arial"/>
          <w:sz w:val="24"/>
          <w:szCs w:val="24"/>
        </w:rPr>
      </w:pPr>
      <w:r>
        <w:rPr>
          <w:rFonts w:ascii="Arial" w:hAnsi="Arial" w:cs="Arial"/>
          <w:sz w:val="24"/>
          <w:szCs w:val="24"/>
        </w:rPr>
        <w:lastRenderedPageBreak/>
        <w:t>En el análisis multivariable, el cociente urea/creatinina mayor a 36,5 resultó un predictor de mortalidad a corto plazo (HR: 2,215; IC 95%: 2,105-3,060; p&lt;0,0001), independientemente de la enfermedad renal crónica previa, la hipoalbuminemia, la hiperpotasemia y la acidemia metabólica.</w:t>
      </w:r>
    </w:p>
    <w:p w:rsidR="00587139" w:rsidRDefault="00587139" w:rsidP="00587139">
      <w:pPr>
        <w:spacing w:line="360" w:lineRule="auto"/>
        <w:jc w:val="both"/>
        <w:rPr>
          <w:rFonts w:ascii="Arial" w:hAnsi="Arial" w:cs="Arial"/>
          <w:sz w:val="24"/>
          <w:szCs w:val="24"/>
        </w:rPr>
      </w:pPr>
    </w:p>
    <w:p w:rsidR="001D4DC9" w:rsidRDefault="001D4DC9" w:rsidP="001D4DC9">
      <w:pPr>
        <w:spacing w:line="360" w:lineRule="auto"/>
        <w:rPr>
          <w:rFonts w:ascii="Arial" w:hAnsi="Arial" w:cs="Arial"/>
          <w:sz w:val="24"/>
          <w:szCs w:val="24"/>
        </w:rPr>
      </w:pPr>
    </w:p>
    <w:p w:rsidR="001D4DC9" w:rsidRDefault="001D4DC9" w:rsidP="001D4DC9">
      <w:pPr>
        <w:spacing w:line="360" w:lineRule="auto"/>
        <w:rPr>
          <w:rFonts w:ascii="Arial" w:hAnsi="Arial" w:cs="Arial"/>
          <w:sz w:val="24"/>
          <w:szCs w:val="24"/>
        </w:rPr>
      </w:pPr>
    </w:p>
    <w:p w:rsidR="001D4DC9" w:rsidRDefault="001D4DC9" w:rsidP="001D4DC9">
      <w:pPr>
        <w:spacing w:line="360" w:lineRule="auto"/>
        <w:rPr>
          <w:rFonts w:ascii="Arial" w:hAnsi="Arial" w:cs="Arial"/>
          <w:sz w:val="24"/>
          <w:szCs w:val="24"/>
        </w:rPr>
      </w:pPr>
    </w:p>
    <w:p w:rsidR="001D4DC9" w:rsidRDefault="001D4DC9" w:rsidP="001D4DC9">
      <w:pPr>
        <w:spacing w:line="360" w:lineRule="auto"/>
        <w:rPr>
          <w:rFonts w:ascii="Arial" w:hAnsi="Arial" w:cs="Arial"/>
          <w:sz w:val="24"/>
          <w:szCs w:val="24"/>
        </w:rPr>
      </w:pPr>
    </w:p>
    <w:p w:rsidR="001D4DC9" w:rsidRDefault="001D4DC9" w:rsidP="001D4DC9">
      <w:pPr>
        <w:spacing w:line="360" w:lineRule="auto"/>
        <w:rPr>
          <w:rFonts w:ascii="Arial" w:hAnsi="Arial" w:cs="Arial"/>
          <w:sz w:val="24"/>
          <w:szCs w:val="24"/>
        </w:rPr>
      </w:pPr>
    </w:p>
    <w:p w:rsidR="001D4DC9" w:rsidRDefault="001D4DC9" w:rsidP="001D4DC9">
      <w:pPr>
        <w:spacing w:line="360" w:lineRule="auto"/>
        <w:rPr>
          <w:rFonts w:ascii="Arial" w:hAnsi="Arial" w:cs="Arial"/>
          <w:sz w:val="24"/>
          <w:szCs w:val="24"/>
        </w:rPr>
      </w:pPr>
    </w:p>
    <w:p w:rsidR="001D4DC9" w:rsidRDefault="001D4DC9" w:rsidP="001D4DC9">
      <w:pPr>
        <w:spacing w:line="360" w:lineRule="auto"/>
        <w:rPr>
          <w:rFonts w:ascii="Arial" w:hAnsi="Arial" w:cs="Arial"/>
          <w:sz w:val="24"/>
          <w:szCs w:val="24"/>
        </w:rPr>
      </w:pPr>
    </w:p>
    <w:p w:rsidR="001D4DC9" w:rsidRDefault="001D4DC9" w:rsidP="001D4DC9">
      <w:pPr>
        <w:spacing w:line="360" w:lineRule="auto"/>
        <w:rPr>
          <w:rFonts w:ascii="Arial" w:hAnsi="Arial" w:cs="Arial"/>
          <w:sz w:val="24"/>
          <w:szCs w:val="24"/>
        </w:rPr>
      </w:pPr>
    </w:p>
    <w:p w:rsidR="001D4DC9" w:rsidRDefault="001D4DC9" w:rsidP="001D4DC9">
      <w:pPr>
        <w:spacing w:line="360" w:lineRule="auto"/>
        <w:rPr>
          <w:rFonts w:ascii="Arial" w:hAnsi="Arial" w:cs="Arial"/>
          <w:sz w:val="24"/>
          <w:szCs w:val="24"/>
        </w:rPr>
      </w:pPr>
    </w:p>
    <w:p w:rsidR="001D4DC9" w:rsidRDefault="001D4DC9" w:rsidP="001D4DC9">
      <w:pPr>
        <w:spacing w:line="360" w:lineRule="auto"/>
        <w:rPr>
          <w:rFonts w:ascii="Arial" w:hAnsi="Arial" w:cs="Arial"/>
          <w:sz w:val="24"/>
          <w:szCs w:val="24"/>
        </w:rPr>
      </w:pPr>
    </w:p>
    <w:p w:rsidR="001D4DC9" w:rsidRDefault="001D4DC9" w:rsidP="001D4DC9">
      <w:pPr>
        <w:spacing w:line="360" w:lineRule="auto"/>
        <w:rPr>
          <w:rFonts w:ascii="Arial" w:hAnsi="Arial" w:cs="Arial"/>
          <w:sz w:val="24"/>
          <w:szCs w:val="24"/>
        </w:rPr>
      </w:pPr>
    </w:p>
    <w:p w:rsidR="001D4DC9" w:rsidRDefault="001D4DC9" w:rsidP="001D4DC9">
      <w:pPr>
        <w:spacing w:line="360" w:lineRule="auto"/>
        <w:rPr>
          <w:rFonts w:ascii="Arial" w:hAnsi="Arial" w:cs="Arial"/>
          <w:sz w:val="24"/>
          <w:szCs w:val="24"/>
        </w:rPr>
      </w:pPr>
    </w:p>
    <w:p w:rsidR="001D4DC9" w:rsidRDefault="001D4DC9" w:rsidP="001D4DC9">
      <w:pPr>
        <w:spacing w:line="360" w:lineRule="auto"/>
        <w:rPr>
          <w:rFonts w:ascii="Arial" w:hAnsi="Arial" w:cs="Arial"/>
          <w:sz w:val="24"/>
          <w:szCs w:val="24"/>
        </w:rPr>
      </w:pPr>
    </w:p>
    <w:p w:rsidR="001D4DC9" w:rsidRDefault="001D4DC9" w:rsidP="001D4DC9">
      <w:pPr>
        <w:spacing w:line="360" w:lineRule="auto"/>
        <w:rPr>
          <w:rFonts w:ascii="Arial" w:hAnsi="Arial" w:cs="Arial"/>
          <w:sz w:val="24"/>
          <w:szCs w:val="24"/>
        </w:rPr>
      </w:pPr>
    </w:p>
    <w:p w:rsidR="00AA1913" w:rsidRDefault="00AA1913" w:rsidP="001D4DC9">
      <w:pPr>
        <w:spacing w:line="360" w:lineRule="auto"/>
        <w:jc w:val="center"/>
        <w:rPr>
          <w:rFonts w:ascii="Arial" w:hAnsi="Arial" w:cs="Arial"/>
          <w:b/>
          <w:sz w:val="24"/>
          <w:szCs w:val="24"/>
        </w:rPr>
      </w:pPr>
    </w:p>
    <w:p w:rsidR="00AA1913" w:rsidRDefault="00AA1913" w:rsidP="001D4DC9">
      <w:pPr>
        <w:spacing w:line="360" w:lineRule="auto"/>
        <w:jc w:val="center"/>
        <w:rPr>
          <w:rFonts w:ascii="Arial" w:hAnsi="Arial" w:cs="Arial"/>
          <w:b/>
          <w:sz w:val="24"/>
          <w:szCs w:val="24"/>
        </w:rPr>
      </w:pPr>
    </w:p>
    <w:p w:rsidR="00AA1913" w:rsidRDefault="00AA1913" w:rsidP="001D4DC9">
      <w:pPr>
        <w:spacing w:line="360" w:lineRule="auto"/>
        <w:jc w:val="center"/>
        <w:rPr>
          <w:rFonts w:ascii="Arial" w:hAnsi="Arial" w:cs="Arial"/>
          <w:b/>
          <w:sz w:val="24"/>
          <w:szCs w:val="24"/>
        </w:rPr>
      </w:pPr>
    </w:p>
    <w:p w:rsidR="0063004D" w:rsidRDefault="00385C1C" w:rsidP="001D4DC9">
      <w:pPr>
        <w:spacing w:line="360" w:lineRule="auto"/>
        <w:jc w:val="center"/>
        <w:rPr>
          <w:rFonts w:ascii="Arial" w:hAnsi="Arial" w:cs="Arial"/>
          <w:b/>
          <w:sz w:val="24"/>
          <w:szCs w:val="24"/>
        </w:rPr>
      </w:pPr>
      <w:r w:rsidRPr="00385C1C">
        <w:rPr>
          <w:rFonts w:ascii="Arial" w:hAnsi="Arial" w:cs="Arial"/>
          <w:b/>
          <w:sz w:val="24"/>
          <w:szCs w:val="24"/>
        </w:rPr>
        <w:lastRenderedPageBreak/>
        <w:t>DISCUSIÓN</w:t>
      </w:r>
    </w:p>
    <w:p w:rsidR="00561CD6" w:rsidRDefault="00052586" w:rsidP="00561CD6">
      <w:pPr>
        <w:spacing w:line="360" w:lineRule="auto"/>
        <w:jc w:val="both"/>
        <w:rPr>
          <w:rFonts w:ascii="Arial" w:hAnsi="Arial" w:cs="Arial"/>
          <w:sz w:val="24"/>
          <w:szCs w:val="24"/>
        </w:rPr>
      </w:pPr>
      <w:r w:rsidRPr="00052586">
        <w:rPr>
          <w:rFonts w:ascii="Arial" w:hAnsi="Arial" w:cs="Arial"/>
          <w:sz w:val="24"/>
          <w:szCs w:val="24"/>
        </w:rPr>
        <w:t xml:space="preserve">Los resultados de la presente investigación muestran que </w:t>
      </w:r>
      <w:r>
        <w:rPr>
          <w:rFonts w:ascii="Arial" w:hAnsi="Arial" w:cs="Arial"/>
          <w:sz w:val="24"/>
          <w:szCs w:val="24"/>
        </w:rPr>
        <w:t>el</w:t>
      </w:r>
      <w:r w:rsidRPr="00052586">
        <w:rPr>
          <w:rFonts w:ascii="Arial" w:hAnsi="Arial" w:cs="Arial"/>
          <w:sz w:val="24"/>
          <w:szCs w:val="24"/>
        </w:rPr>
        <w:t xml:space="preserve"> </w:t>
      </w:r>
      <w:r>
        <w:rPr>
          <w:rFonts w:ascii="Arial" w:hAnsi="Arial" w:cs="Arial"/>
          <w:sz w:val="24"/>
          <w:szCs w:val="24"/>
        </w:rPr>
        <w:t>cociente urea/creatinina</w:t>
      </w:r>
      <w:r w:rsidRPr="00052586">
        <w:rPr>
          <w:rFonts w:ascii="Arial" w:hAnsi="Arial" w:cs="Arial"/>
          <w:sz w:val="24"/>
          <w:szCs w:val="24"/>
        </w:rPr>
        <w:t xml:space="preserve"> posee valor pronóstico para muerte por </w:t>
      </w:r>
      <w:r>
        <w:rPr>
          <w:rFonts w:ascii="Arial" w:hAnsi="Arial" w:cs="Arial"/>
          <w:sz w:val="24"/>
          <w:szCs w:val="24"/>
        </w:rPr>
        <w:t>injuria renal aguda prer</w:t>
      </w:r>
      <w:r w:rsidR="00E30FF4">
        <w:rPr>
          <w:rFonts w:ascii="Arial" w:hAnsi="Arial" w:cs="Arial"/>
          <w:sz w:val="24"/>
          <w:szCs w:val="24"/>
        </w:rPr>
        <w:t>r</w:t>
      </w:r>
      <w:r>
        <w:rPr>
          <w:rFonts w:ascii="Arial" w:hAnsi="Arial" w:cs="Arial"/>
          <w:sz w:val="24"/>
          <w:szCs w:val="24"/>
        </w:rPr>
        <w:t>enal</w:t>
      </w:r>
      <w:r w:rsidRPr="00052586">
        <w:rPr>
          <w:rFonts w:ascii="Arial" w:hAnsi="Arial" w:cs="Arial"/>
          <w:sz w:val="24"/>
          <w:szCs w:val="24"/>
        </w:rPr>
        <w:t xml:space="preserve"> </w:t>
      </w:r>
      <w:r>
        <w:rPr>
          <w:rFonts w:ascii="Arial" w:hAnsi="Arial" w:cs="Arial"/>
          <w:sz w:val="24"/>
          <w:szCs w:val="24"/>
        </w:rPr>
        <w:t>a corto plazo</w:t>
      </w:r>
      <w:r w:rsidRPr="00052586">
        <w:rPr>
          <w:rFonts w:ascii="Arial" w:hAnsi="Arial" w:cs="Arial"/>
          <w:sz w:val="24"/>
          <w:szCs w:val="24"/>
        </w:rPr>
        <w:t xml:space="preserve">, basado en el valor del estadístico C o área bajo la curva ROC, la cual fue mayor que 0.7, por lo tanto se puede considerar </w:t>
      </w:r>
      <w:r>
        <w:rPr>
          <w:rFonts w:ascii="Arial" w:hAnsi="Arial" w:cs="Arial"/>
          <w:sz w:val="24"/>
          <w:szCs w:val="24"/>
        </w:rPr>
        <w:t>el cociente</w:t>
      </w:r>
      <w:r w:rsidRPr="00052586">
        <w:rPr>
          <w:rFonts w:ascii="Arial" w:hAnsi="Arial" w:cs="Arial"/>
          <w:sz w:val="24"/>
          <w:szCs w:val="24"/>
        </w:rPr>
        <w:t xml:space="preserve"> tienen va</w:t>
      </w:r>
      <w:r>
        <w:rPr>
          <w:rFonts w:ascii="Arial" w:hAnsi="Arial" w:cs="Arial"/>
          <w:sz w:val="24"/>
          <w:szCs w:val="24"/>
        </w:rPr>
        <w:t>lor predictivo significativo (p&lt;</w:t>
      </w:r>
      <w:r w:rsidRPr="00052586">
        <w:rPr>
          <w:rFonts w:ascii="Arial" w:hAnsi="Arial" w:cs="Arial"/>
          <w:sz w:val="24"/>
          <w:szCs w:val="24"/>
        </w:rPr>
        <w:t>0,05).</w:t>
      </w:r>
    </w:p>
    <w:p w:rsidR="00052586" w:rsidRDefault="005C4602" w:rsidP="00561CD6">
      <w:pPr>
        <w:spacing w:line="360" w:lineRule="auto"/>
        <w:jc w:val="both"/>
        <w:rPr>
          <w:rFonts w:ascii="Arial" w:hAnsi="Arial" w:cs="Arial"/>
          <w:sz w:val="24"/>
          <w:szCs w:val="24"/>
        </w:rPr>
      </w:pPr>
      <w:r w:rsidRPr="005C4602">
        <w:rPr>
          <w:rFonts w:ascii="Arial" w:hAnsi="Arial" w:cs="Arial"/>
          <w:sz w:val="24"/>
          <w:szCs w:val="24"/>
        </w:rPr>
        <w:t>La curva ROC es una herramienta estadística utilizada en el análisis de clasi</w:t>
      </w:r>
      <w:r w:rsidR="00984277">
        <w:rPr>
          <w:rFonts w:ascii="Arial" w:hAnsi="Arial" w:cs="Arial"/>
          <w:sz w:val="24"/>
          <w:szCs w:val="24"/>
        </w:rPr>
        <w:t>fi</w:t>
      </w:r>
      <w:r w:rsidRPr="005C4602">
        <w:rPr>
          <w:rFonts w:ascii="Arial" w:hAnsi="Arial" w:cs="Arial"/>
          <w:sz w:val="24"/>
          <w:szCs w:val="24"/>
        </w:rPr>
        <w:t>car la capacidad discriminante de una prueba diagnóstica dicotómica. Es decir, una prueba, basada en una variable de d</w:t>
      </w:r>
      <w:r w:rsidR="00984277">
        <w:rPr>
          <w:rFonts w:ascii="Arial" w:hAnsi="Arial" w:cs="Arial"/>
          <w:sz w:val="24"/>
          <w:szCs w:val="24"/>
        </w:rPr>
        <w:t>ecisión, cuyo objetivo es clasifi</w:t>
      </w:r>
      <w:r w:rsidRPr="005C4602">
        <w:rPr>
          <w:rFonts w:ascii="Arial" w:hAnsi="Arial" w:cs="Arial"/>
          <w:sz w:val="24"/>
          <w:szCs w:val="24"/>
        </w:rPr>
        <w:t>car a los individuos de una población en dos grupos: uno que presente un evento de interés y otro que no. Esta capacidad discriminante está sujeta al valor umbral elegido de entre todos los posibles resultados de la variable de decisión, es decir, la varia</w:t>
      </w:r>
      <w:r w:rsidR="00984277">
        <w:rPr>
          <w:rFonts w:ascii="Arial" w:hAnsi="Arial" w:cs="Arial"/>
          <w:sz w:val="24"/>
          <w:szCs w:val="24"/>
        </w:rPr>
        <w:t>ble por cuyo resultado se clasifi</w:t>
      </w:r>
      <w:r w:rsidRPr="005C4602">
        <w:rPr>
          <w:rFonts w:ascii="Arial" w:hAnsi="Arial" w:cs="Arial"/>
          <w:sz w:val="24"/>
          <w:szCs w:val="24"/>
        </w:rPr>
        <w:t>ca a cada individuo en un grupo u otro</w:t>
      </w:r>
      <w:r w:rsidR="00984277">
        <w:rPr>
          <w:rFonts w:ascii="Arial" w:hAnsi="Arial" w:cs="Arial"/>
          <w:sz w:val="24"/>
          <w:szCs w:val="24"/>
        </w:rPr>
        <w:t>.</w:t>
      </w:r>
      <w:r w:rsidR="00DC491C">
        <w:rPr>
          <w:rFonts w:ascii="Arial" w:hAnsi="Arial" w:cs="Arial"/>
          <w:sz w:val="24"/>
          <w:szCs w:val="24"/>
        </w:rPr>
        <w:t xml:space="preserve"> </w:t>
      </w:r>
      <w:r w:rsidR="00DC491C" w:rsidRPr="00EA703E">
        <w:rPr>
          <w:rFonts w:ascii="Arial" w:hAnsi="Arial" w:cs="Arial"/>
          <w:sz w:val="24"/>
          <w:szCs w:val="24"/>
          <w:vertAlign w:val="superscript"/>
        </w:rPr>
        <w:t>(2</w:t>
      </w:r>
      <w:r w:rsidR="006F291E" w:rsidRPr="00EA703E">
        <w:rPr>
          <w:rFonts w:ascii="Arial" w:hAnsi="Arial" w:cs="Arial"/>
          <w:sz w:val="24"/>
          <w:szCs w:val="24"/>
          <w:vertAlign w:val="superscript"/>
        </w:rPr>
        <w:t>1</w:t>
      </w:r>
      <w:r w:rsidR="00DC491C" w:rsidRPr="00EA703E">
        <w:rPr>
          <w:rFonts w:ascii="Arial" w:hAnsi="Arial" w:cs="Arial"/>
          <w:sz w:val="24"/>
          <w:szCs w:val="24"/>
          <w:vertAlign w:val="superscript"/>
        </w:rPr>
        <w:t>)</w:t>
      </w:r>
      <w:r w:rsidR="00984277">
        <w:rPr>
          <w:rFonts w:ascii="Arial" w:hAnsi="Arial" w:cs="Arial"/>
          <w:sz w:val="24"/>
          <w:szCs w:val="24"/>
        </w:rPr>
        <w:t xml:space="preserve"> </w:t>
      </w:r>
      <w:r w:rsidR="00DC491C">
        <w:rPr>
          <w:rFonts w:ascii="Arial" w:hAnsi="Arial" w:cs="Arial"/>
          <w:sz w:val="24"/>
          <w:szCs w:val="24"/>
        </w:rPr>
        <w:t>En este caso, permite discriminar los pacientes con injuria renal aguda prer</w:t>
      </w:r>
      <w:r w:rsidR="00E30FF4">
        <w:rPr>
          <w:rFonts w:ascii="Arial" w:hAnsi="Arial" w:cs="Arial"/>
          <w:sz w:val="24"/>
          <w:szCs w:val="24"/>
        </w:rPr>
        <w:t>r</w:t>
      </w:r>
      <w:r w:rsidR="00DC491C">
        <w:rPr>
          <w:rFonts w:ascii="Arial" w:hAnsi="Arial" w:cs="Arial"/>
          <w:sz w:val="24"/>
          <w:szCs w:val="24"/>
        </w:rPr>
        <w:t>enal con riesgo de morir.</w:t>
      </w:r>
    </w:p>
    <w:p w:rsidR="00984277" w:rsidRDefault="002506F6" w:rsidP="00561CD6">
      <w:pPr>
        <w:spacing w:line="360" w:lineRule="auto"/>
        <w:jc w:val="both"/>
        <w:rPr>
          <w:rFonts w:ascii="Arial" w:hAnsi="Arial" w:cs="Arial"/>
          <w:sz w:val="24"/>
          <w:szCs w:val="24"/>
        </w:rPr>
      </w:pPr>
      <w:r w:rsidRPr="00984277">
        <w:rPr>
          <w:rFonts w:ascii="Arial" w:hAnsi="Arial" w:cs="Arial"/>
          <w:sz w:val="24"/>
          <w:szCs w:val="24"/>
        </w:rPr>
        <w:t>Las</w:t>
      </w:r>
      <w:r w:rsidR="00984277" w:rsidRPr="00984277">
        <w:rPr>
          <w:rFonts w:ascii="Arial" w:hAnsi="Arial" w:cs="Arial"/>
          <w:sz w:val="24"/>
          <w:szCs w:val="24"/>
        </w:rPr>
        <w:t xml:space="preserve"> curvas ROC suponen una e</w:t>
      </w:r>
      <w:r>
        <w:rPr>
          <w:rFonts w:ascii="Arial" w:hAnsi="Arial" w:cs="Arial"/>
          <w:sz w:val="24"/>
          <w:szCs w:val="24"/>
        </w:rPr>
        <w:t>fi</w:t>
      </w:r>
      <w:r w:rsidR="00984277" w:rsidRPr="00984277">
        <w:rPr>
          <w:rFonts w:ascii="Arial" w:hAnsi="Arial" w:cs="Arial"/>
          <w:sz w:val="24"/>
          <w:szCs w:val="24"/>
        </w:rPr>
        <w:t>ciente herramienta para medir la bondad de un clasi</w:t>
      </w:r>
      <w:r>
        <w:rPr>
          <w:rFonts w:ascii="Arial" w:hAnsi="Arial" w:cs="Arial"/>
          <w:sz w:val="24"/>
          <w:szCs w:val="24"/>
        </w:rPr>
        <w:t>fi</w:t>
      </w:r>
      <w:r w:rsidR="00984277" w:rsidRPr="00984277">
        <w:rPr>
          <w:rFonts w:ascii="Arial" w:hAnsi="Arial" w:cs="Arial"/>
          <w:sz w:val="24"/>
          <w:szCs w:val="24"/>
        </w:rPr>
        <w:t>cador y, en caso de ser su</w:t>
      </w:r>
      <w:r>
        <w:rPr>
          <w:rFonts w:ascii="Arial" w:hAnsi="Arial" w:cs="Arial"/>
          <w:sz w:val="24"/>
          <w:szCs w:val="24"/>
        </w:rPr>
        <w:t>fi</w:t>
      </w:r>
      <w:r w:rsidR="00984277" w:rsidRPr="00984277">
        <w:rPr>
          <w:rFonts w:ascii="Arial" w:hAnsi="Arial" w:cs="Arial"/>
          <w:sz w:val="24"/>
          <w:szCs w:val="24"/>
        </w:rPr>
        <w:t>ciente, elegir el valor umbral que mejor se ajuste al evento a detectar. Es decir, una prueba más sensible que especí</w:t>
      </w:r>
      <w:r>
        <w:rPr>
          <w:rFonts w:ascii="Arial" w:hAnsi="Arial" w:cs="Arial"/>
          <w:sz w:val="24"/>
          <w:szCs w:val="24"/>
        </w:rPr>
        <w:t>fi</w:t>
      </w:r>
      <w:r w:rsidR="00984277" w:rsidRPr="00984277">
        <w:rPr>
          <w:rFonts w:ascii="Arial" w:hAnsi="Arial" w:cs="Arial"/>
          <w:sz w:val="24"/>
          <w:szCs w:val="24"/>
        </w:rPr>
        <w:t>ca (preventiva), una más especí</w:t>
      </w:r>
      <w:r>
        <w:rPr>
          <w:rFonts w:ascii="Arial" w:hAnsi="Arial" w:cs="Arial"/>
          <w:sz w:val="24"/>
          <w:szCs w:val="24"/>
        </w:rPr>
        <w:t>fi</w:t>
      </w:r>
      <w:r w:rsidR="00984277" w:rsidRPr="00984277">
        <w:rPr>
          <w:rFonts w:ascii="Arial" w:hAnsi="Arial" w:cs="Arial"/>
          <w:sz w:val="24"/>
          <w:szCs w:val="24"/>
        </w:rPr>
        <w:t>ca que sensible (tamizaje) o una que minimice el o los resultados erróneos positivos y negativos. Puede realizarse para todo tipo de dato (continuo, discreto, categórico...), la sustenta una base teórica que cubre métodos de estimación, cuanti</w:t>
      </w:r>
      <w:r>
        <w:rPr>
          <w:rFonts w:ascii="Arial" w:hAnsi="Arial" w:cs="Arial"/>
          <w:sz w:val="24"/>
          <w:szCs w:val="24"/>
        </w:rPr>
        <w:t>fi</w:t>
      </w:r>
      <w:r w:rsidR="00984277" w:rsidRPr="00984277">
        <w:rPr>
          <w:rFonts w:ascii="Arial" w:hAnsi="Arial" w:cs="Arial"/>
          <w:sz w:val="24"/>
          <w:szCs w:val="24"/>
        </w:rPr>
        <w:t>cadores de su exactitud y contrastes de hipótesis para aceptar o no la igualdad de pruebas y salvar el problema de la variabilidad muestral.</w:t>
      </w:r>
      <w:r>
        <w:rPr>
          <w:rFonts w:ascii="Arial" w:hAnsi="Arial" w:cs="Arial"/>
          <w:sz w:val="24"/>
          <w:szCs w:val="24"/>
        </w:rPr>
        <w:t xml:space="preserve"> </w:t>
      </w:r>
      <w:r w:rsidRPr="00EA703E">
        <w:rPr>
          <w:rFonts w:ascii="Arial" w:hAnsi="Arial" w:cs="Arial"/>
          <w:sz w:val="24"/>
          <w:szCs w:val="24"/>
          <w:vertAlign w:val="superscript"/>
        </w:rPr>
        <w:t>(2</w:t>
      </w:r>
      <w:r w:rsidR="006F291E" w:rsidRPr="00EA703E">
        <w:rPr>
          <w:rFonts w:ascii="Arial" w:hAnsi="Arial" w:cs="Arial"/>
          <w:sz w:val="24"/>
          <w:szCs w:val="24"/>
          <w:vertAlign w:val="superscript"/>
        </w:rPr>
        <w:t>2</w:t>
      </w:r>
      <w:r w:rsidRPr="00EA703E">
        <w:rPr>
          <w:rFonts w:ascii="Arial" w:hAnsi="Arial" w:cs="Arial"/>
          <w:sz w:val="24"/>
          <w:szCs w:val="24"/>
          <w:vertAlign w:val="superscript"/>
        </w:rPr>
        <w:t>)</w:t>
      </w:r>
    </w:p>
    <w:p w:rsidR="00EB2591" w:rsidRDefault="00EB2591" w:rsidP="00561CD6">
      <w:pPr>
        <w:spacing w:line="360" w:lineRule="auto"/>
        <w:jc w:val="both"/>
        <w:rPr>
          <w:rFonts w:ascii="Arial" w:hAnsi="Arial" w:cs="Arial"/>
          <w:sz w:val="24"/>
          <w:szCs w:val="24"/>
        </w:rPr>
      </w:pPr>
      <w:r>
        <w:rPr>
          <w:rFonts w:ascii="Arial" w:hAnsi="Arial" w:cs="Arial"/>
          <w:sz w:val="24"/>
          <w:szCs w:val="24"/>
        </w:rPr>
        <w:t>El uso de la curva ROC, específicamente en este estudio, luego de mostrar al cociente urea/creatinina como predictor de mortalidad en la IRA prer</w:t>
      </w:r>
      <w:r w:rsidR="00E30FF4">
        <w:rPr>
          <w:rFonts w:ascii="Arial" w:hAnsi="Arial" w:cs="Arial"/>
          <w:sz w:val="24"/>
          <w:szCs w:val="24"/>
        </w:rPr>
        <w:t>r</w:t>
      </w:r>
      <w:r>
        <w:rPr>
          <w:rFonts w:ascii="Arial" w:hAnsi="Arial" w:cs="Arial"/>
          <w:sz w:val="24"/>
          <w:szCs w:val="24"/>
        </w:rPr>
        <w:t>enal, permite realizar estrategias encaminadas a disminuir el riesgo de mortalidad en estos pacientes, auxiliándose en los valores de dicho cociente.</w:t>
      </w:r>
    </w:p>
    <w:p w:rsidR="00EB2591" w:rsidRDefault="00EB2591" w:rsidP="00561CD6">
      <w:pPr>
        <w:spacing w:line="360" w:lineRule="auto"/>
        <w:jc w:val="both"/>
        <w:rPr>
          <w:rFonts w:ascii="Arial" w:hAnsi="Arial" w:cs="Arial"/>
          <w:sz w:val="24"/>
          <w:szCs w:val="24"/>
        </w:rPr>
      </w:pPr>
    </w:p>
    <w:p w:rsidR="00EB2591" w:rsidRDefault="00E92056" w:rsidP="00561CD6">
      <w:pPr>
        <w:spacing w:line="360" w:lineRule="auto"/>
        <w:jc w:val="both"/>
        <w:rPr>
          <w:rFonts w:ascii="Arial" w:hAnsi="Arial" w:cs="Arial"/>
          <w:sz w:val="24"/>
          <w:szCs w:val="24"/>
        </w:rPr>
      </w:pPr>
      <w:r>
        <w:rPr>
          <w:rFonts w:ascii="Arial" w:hAnsi="Arial" w:cs="Arial"/>
          <w:sz w:val="24"/>
          <w:szCs w:val="24"/>
        </w:rPr>
        <w:lastRenderedPageBreak/>
        <w:t xml:space="preserve">El cociente urea/creatinina ha sido validado por varios autores </w:t>
      </w:r>
      <w:r w:rsidRPr="00EA703E">
        <w:rPr>
          <w:rFonts w:ascii="Arial" w:hAnsi="Arial" w:cs="Arial"/>
          <w:sz w:val="24"/>
          <w:szCs w:val="24"/>
          <w:vertAlign w:val="superscript"/>
        </w:rPr>
        <w:t>(23-26)</w:t>
      </w:r>
      <w:r>
        <w:rPr>
          <w:rFonts w:ascii="Arial" w:hAnsi="Arial" w:cs="Arial"/>
          <w:sz w:val="24"/>
          <w:szCs w:val="24"/>
        </w:rPr>
        <w:t xml:space="preserve"> como buen predictor de injuria renal aguda y permite diferenciar entre las causas prer</w:t>
      </w:r>
      <w:r w:rsidR="00E30FF4">
        <w:rPr>
          <w:rFonts w:ascii="Arial" w:hAnsi="Arial" w:cs="Arial"/>
          <w:sz w:val="24"/>
          <w:szCs w:val="24"/>
        </w:rPr>
        <w:t>r</w:t>
      </w:r>
      <w:r>
        <w:rPr>
          <w:rFonts w:ascii="Arial" w:hAnsi="Arial" w:cs="Arial"/>
          <w:sz w:val="24"/>
          <w:szCs w:val="24"/>
        </w:rPr>
        <w:t>enales de las renales o intrínsecas, pero muy pocos lo han usado como predictor de mortalidad a corto plazo en pacientes con daño renal.</w:t>
      </w:r>
    </w:p>
    <w:p w:rsidR="00F4294C" w:rsidRDefault="00D502C0" w:rsidP="00561CD6">
      <w:pPr>
        <w:spacing w:line="360" w:lineRule="auto"/>
        <w:jc w:val="both"/>
        <w:rPr>
          <w:rFonts w:ascii="Arial" w:hAnsi="Arial" w:cs="Arial"/>
          <w:sz w:val="24"/>
          <w:szCs w:val="24"/>
        </w:rPr>
      </w:pPr>
      <w:r>
        <w:rPr>
          <w:rFonts w:ascii="Arial" w:hAnsi="Arial" w:cs="Arial"/>
          <w:sz w:val="24"/>
          <w:szCs w:val="24"/>
        </w:rPr>
        <w:t>B</w:t>
      </w:r>
      <w:r w:rsidR="00540047">
        <w:rPr>
          <w:rFonts w:ascii="Arial" w:hAnsi="Arial" w:cs="Arial"/>
          <w:sz w:val="24"/>
          <w:szCs w:val="24"/>
        </w:rPr>
        <w:t>erni</w:t>
      </w:r>
      <w:r>
        <w:rPr>
          <w:rFonts w:ascii="Arial" w:hAnsi="Arial" w:cs="Arial"/>
          <w:sz w:val="24"/>
          <w:szCs w:val="24"/>
        </w:rPr>
        <w:t xml:space="preserve"> y colaboradores </w:t>
      </w:r>
      <w:r w:rsidRPr="00EA703E">
        <w:rPr>
          <w:rFonts w:ascii="Arial" w:hAnsi="Arial" w:cs="Arial"/>
          <w:sz w:val="24"/>
          <w:szCs w:val="24"/>
          <w:vertAlign w:val="superscript"/>
        </w:rPr>
        <w:t>(27)</w:t>
      </w:r>
      <w:r>
        <w:rPr>
          <w:rFonts w:ascii="Arial" w:hAnsi="Arial" w:cs="Arial"/>
          <w:sz w:val="24"/>
          <w:szCs w:val="24"/>
        </w:rPr>
        <w:t xml:space="preserve"> en un estudio descriptivo realizado en </w:t>
      </w:r>
      <w:r w:rsidR="00540047">
        <w:rPr>
          <w:rFonts w:ascii="Arial" w:hAnsi="Arial" w:cs="Arial"/>
          <w:sz w:val="24"/>
          <w:szCs w:val="24"/>
        </w:rPr>
        <w:t>España</w:t>
      </w:r>
      <w:r>
        <w:rPr>
          <w:rFonts w:ascii="Arial" w:hAnsi="Arial" w:cs="Arial"/>
          <w:sz w:val="24"/>
          <w:szCs w:val="24"/>
        </w:rPr>
        <w:t xml:space="preserve"> </w:t>
      </w:r>
      <w:r w:rsidR="00540047">
        <w:rPr>
          <w:rFonts w:ascii="Arial" w:hAnsi="Arial" w:cs="Arial"/>
          <w:sz w:val="24"/>
          <w:szCs w:val="24"/>
        </w:rPr>
        <w:t>en el 2016</w:t>
      </w:r>
      <w:r>
        <w:rPr>
          <w:rFonts w:ascii="Arial" w:hAnsi="Arial" w:cs="Arial"/>
          <w:sz w:val="24"/>
          <w:szCs w:val="24"/>
        </w:rPr>
        <w:t xml:space="preserve"> informa como el cociente urea/creatinina predijo 12 de las 15 defunciones registradas, alcanzando un alto valor predictivo.</w:t>
      </w:r>
      <w:r w:rsidR="00F4294C">
        <w:rPr>
          <w:rFonts w:ascii="Arial" w:hAnsi="Arial" w:cs="Arial"/>
          <w:sz w:val="24"/>
          <w:szCs w:val="24"/>
        </w:rPr>
        <w:t xml:space="preserve"> </w:t>
      </w:r>
      <w:r w:rsidR="00D263E7">
        <w:rPr>
          <w:rFonts w:ascii="Arial" w:hAnsi="Arial" w:cs="Arial"/>
          <w:sz w:val="24"/>
          <w:szCs w:val="24"/>
        </w:rPr>
        <w:t>Borrego</w:t>
      </w:r>
      <w:r w:rsidR="00F4294C">
        <w:rPr>
          <w:rFonts w:ascii="Arial" w:hAnsi="Arial" w:cs="Arial"/>
          <w:sz w:val="24"/>
          <w:szCs w:val="24"/>
        </w:rPr>
        <w:t xml:space="preserve"> y colaboradores </w:t>
      </w:r>
      <w:r w:rsidR="00F4294C" w:rsidRPr="00EA703E">
        <w:rPr>
          <w:rFonts w:ascii="Arial" w:hAnsi="Arial" w:cs="Arial"/>
          <w:sz w:val="24"/>
          <w:szCs w:val="24"/>
          <w:vertAlign w:val="superscript"/>
        </w:rPr>
        <w:t>(28)</w:t>
      </w:r>
      <w:r w:rsidR="00F4294C">
        <w:rPr>
          <w:rFonts w:ascii="Arial" w:hAnsi="Arial" w:cs="Arial"/>
          <w:sz w:val="24"/>
          <w:szCs w:val="24"/>
        </w:rPr>
        <w:t xml:space="preserve"> utilizaron el coc</w:t>
      </w:r>
      <w:r w:rsidR="00D263E7">
        <w:rPr>
          <w:rFonts w:ascii="Arial" w:hAnsi="Arial" w:cs="Arial"/>
          <w:sz w:val="24"/>
          <w:szCs w:val="24"/>
        </w:rPr>
        <w:t>iente en un estudio del año 2018</w:t>
      </w:r>
      <w:r w:rsidR="00F4294C">
        <w:rPr>
          <w:rFonts w:ascii="Arial" w:hAnsi="Arial" w:cs="Arial"/>
          <w:sz w:val="24"/>
          <w:szCs w:val="24"/>
        </w:rPr>
        <w:t xml:space="preserve"> para diferenciar el seguimiento de los pacientes con IRA en la unidad de cuidados intensivos</w:t>
      </w:r>
      <w:r w:rsidR="00D263E7">
        <w:rPr>
          <w:rFonts w:ascii="Arial" w:hAnsi="Arial" w:cs="Arial"/>
          <w:sz w:val="24"/>
          <w:szCs w:val="24"/>
        </w:rPr>
        <w:t xml:space="preserve"> con vasculitis</w:t>
      </w:r>
      <w:r w:rsidR="00F4294C">
        <w:rPr>
          <w:rFonts w:ascii="Arial" w:hAnsi="Arial" w:cs="Arial"/>
          <w:sz w:val="24"/>
          <w:szCs w:val="24"/>
        </w:rPr>
        <w:t>, y demostraron que altos valores del cociente propiciaban la aparición de complicaciones y por ende mayor tasa de letalidad.</w:t>
      </w:r>
    </w:p>
    <w:p w:rsidR="009F0C6C" w:rsidRDefault="001E29F4" w:rsidP="00561CD6">
      <w:pPr>
        <w:spacing w:line="360" w:lineRule="auto"/>
        <w:jc w:val="both"/>
        <w:rPr>
          <w:rFonts w:ascii="Arial" w:hAnsi="Arial" w:cs="Arial"/>
          <w:sz w:val="24"/>
          <w:szCs w:val="24"/>
        </w:rPr>
      </w:pPr>
      <w:r>
        <w:rPr>
          <w:rFonts w:ascii="Arial" w:hAnsi="Arial" w:cs="Arial"/>
          <w:sz w:val="24"/>
          <w:szCs w:val="24"/>
        </w:rPr>
        <w:t xml:space="preserve">Existen diferentes escalas de riesgo de mortalidad en pacientes con injuria renal aguda con gran especificidad y sensibilidad, pero muchas tienen el inconveniente de que necesitan datos clínicos y analíticos </w:t>
      </w:r>
      <w:r w:rsidR="009F0C6C">
        <w:rPr>
          <w:rFonts w:ascii="Arial" w:hAnsi="Arial" w:cs="Arial"/>
          <w:sz w:val="24"/>
          <w:szCs w:val="24"/>
        </w:rPr>
        <w:t>de los cuales no se disponen en el momento del ingreso del paciente, la utilización del cociente urea/creatinina, si bien tiene menor sensibilidad/especificidad que algunas de estas escalas, tiene a favor de que solamente se necesitan las cifras de creatinina y urea para su cálculo, y se puede determinar en cualquier momento sin la necesidad de un arsenal de exámenes complementarios, ni la presencia de un personal altamente calificado del tema en cuestión.</w:t>
      </w:r>
    </w:p>
    <w:p w:rsidR="00992863" w:rsidRDefault="005D1ABC" w:rsidP="00561CD6">
      <w:pPr>
        <w:spacing w:line="360" w:lineRule="auto"/>
        <w:jc w:val="both"/>
        <w:rPr>
          <w:rFonts w:ascii="Arial" w:hAnsi="Arial" w:cs="Arial"/>
          <w:sz w:val="24"/>
          <w:szCs w:val="24"/>
        </w:rPr>
      </w:pPr>
      <w:proofErr w:type="spellStart"/>
      <w:r>
        <w:rPr>
          <w:rFonts w:ascii="Arial" w:hAnsi="Arial" w:cs="Arial"/>
          <w:sz w:val="24"/>
          <w:szCs w:val="24"/>
        </w:rPr>
        <w:t>Zafrani</w:t>
      </w:r>
      <w:proofErr w:type="spellEnd"/>
      <w:r>
        <w:rPr>
          <w:rFonts w:ascii="Arial" w:hAnsi="Arial" w:cs="Arial"/>
          <w:sz w:val="24"/>
          <w:szCs w:val="24"/>
        </w:rPr>
        <w:t xml:space="preserve"> y colaboradores</w:t>
      </w:r>
      <w:r w:rsidR="00992863">
        <w:rPr>
          <w:rFonts w:ascii="Arial" w:hAnsi="Arial" w:cs="Arial"/>
          <w:sz w:val="24"/>
          <w:szCs w:val="24"/>
        </w:rPr>
        <w:t xml:space="preserve"> </w:t>
      </w:r>
      <w:r w:rsidR="00992863" w:rsidRPr="00EA703E">
        <w:rPr>
          <w:rFonts w:ascii="Arial" w:hAnsi="Arial" w:cs="Arial"/>
          <w:sz w:val="24"/>
          <w:szCs w:val="24"/>
          <w:vertAlign w:val="superscript"/>
        </w:rPr>
        <w:t>(29)</w:t>
      </w:r>
      <w:r w:rsidR="00992863">
        <w:rPr>
          <w:rFonts w:ascii="Arial" w:hAnsi="Arial" w:cs="Arial"/>
          <w:sz w:val="24"/>
          <w:szCs w:val="24"/>
        </w:rPr>
        <w:t xml:space="preserve"> plantean que el cociente urea/creatinina también puede predecir la descompensación de la </w:t>
      </w:r>
      <w:r>
        <w:rPr>
          <w:rFonts w:ascii="Arial" w:hAnsi="Arial" w:cs="Arial"/>
          <w:sz w:val="24"/>
          <w:szCs w:val="24"/>
        </w:rPr>
        <w:t>enfermedad hematológica</w:t>
      </w:r>
      <w:r w:rsidR="00992863">
        <w:rPr>
          <w:rFonts w:ascii="Arial" w:hAnsi="Arial" w:cs="Arial"/>
          <w:sz w:val="24"/>
          <w:szCs w:val="24"/>
        </w:rPr>
        <w:t xml:space="preserve"> en pacientes con IRA, debido al planteamiento de que este biomarcador es la traducción de un daño vascul</w:t>
      </w:r>
      <w:r>
        <w:rPr>
          <w:rFonts w:ascii="Arial" w:hAnsi="Arial" w:cs="Arial"/>
          <w:sz w:val="24"/>
          <w:szCs w:val="24"/>
        </w:rPr>
        <w:t xml:space="preserve">ar crónico en el que el corazón, </w:t>
      </w:r>
      <w:r w:rsidR="00992863">
        <w:rPr>
          <w:rFonts w:ascii="Arial" w:hAnsi="Arial" w:cs="Arial"/>
          <w:sz w:val="24"/>
          <w:szCs w:val="24"/>
        </w:rPr>
        <w:t>el riñón</w:t>
      </w:r>
      <w:r>
        <w:rPr>
          <w:rFonts w:ascii="Arial" w:hAnsi="Arial" w:cs="Arial"/>
          <w:sz w:val="24"/>
          <w:szCs w:val="24"/>
        </w:rPr>
        <w:t xml:space="preserve">, el cerebro y los vasos sanguíneos </w:t>
      </w:r>
      <w:r w:rsidR="00992863">
        <w:rPr>
          <w:rFonts w:ascii="Arial" w:hAnsi="Arial" w:cs="Arial"/>
          <w:sz w:val="24"/>
          <w:szCs w:val="24"/>
        </w:rPr>
        <w:t xml:space="preserve"> son órganos diana.</w:t>
      </w:r>
    </w:p>
    <w:p w:rsidR="00BA7665" w:rsidRDefault="00A372D0" w:rsidP="00561CD6">
      <w:pPr>
        <w:spacing w:line="360" w:lineRule="auto"/>
        <w:jc w:val="both"/>
        <w:rPr>
          <w:rFonts w:ascii="Arial" w:hAnsi="Arial" w:cs="Arial"/>
          <w:sz w:val="24"/>
          <w:szCs w:val="24"/>
        </w:rPr>
      </w:pPr>
      <w:r>
        <w:rPr>
          <w:rFonts w:ascii="Arial" w:hAnsi="Arial" w:cs="Arial"/>
          <w:sz w:val="24"/>
          <w:szCs w:val="24"/>
        </w:rPr>
        <w:t>Castro-Serna</w:t>
      </w:r>
      <w:r w:rsidR="00BA7665">
        <w:rPr>
          <w:rFonts w:ascii="Arial" w:hAnsi="Arial" w:cs="Arial"/>
          <w:sz w:val="24"/>
          <w:szCs w:val="24"/>
        </w:rPr>
        <w:t xml:space="preserve"> </w:t>
      </w:r>
      <w:r w:rsidR="00BA7665" w:rsidRPr="00EA703E">
        <w:rPr>
          <w:rFonts w:ascii="Arial" w:hAnsi="Arial" w:cs="Arial"/>
          <w:sz w:val="24"/>
          <w:szCs w:val="24"/>
          <w:vertAlign w:val="superscript"/>
        </w:rPr>
        <w:t>(30)</w:t>
      </w:r>
      <w:r w:rsidR="00BA7665">
        <w:rPr>
          <w:rFonts w:ascii="Arial" w:hAnsi="Arial" w:cs="Arial"/>
          <w:sz w:val="24"/>
          <w:szCs w:val="24"/>
        </w:rPr>
        <w:t xml:space="preserve"> en un estudio </w:t>
      </w:r>
      <w:r>
        <w:rPr>
          <w:rFonts w:ascii="Arial" w:hAnsi="Arial" w:cs="Arial"/>
          <w:sz w:val="24"/>
          <w:szCs w:val="24"/>
        </w:rPr>
        <w:t>realizado en el 2017</w:t>
      </w:r>
      <w:r w:rsidR="00BA7665">
        <w:rPr>
          <w:rFonts w:ascii="Arial" w:hAnsi="Arial" w:cs="Arial"/>
          <w:sz w:val="24"/>
          <w:szCs w:val="24"/>
        </w:rPr>
        <w:t xml:space="preserve"> en </w:t>
      </w:r>
      <w:r>
        <w:rPr>
          <w:rFonts w:ascii="Arial" w:hAnsi="Arial" w:cs="Arial"/>
          <w:sz w:val="24"/>
          <w:szCs w:val="24"/>
        </w:rPr>
        <w:t>México informa</w:t>
      </w:r>
      <w:r w:rsidR="00BA7665">
        <w:rPr>
          <w:rFonts w:ascii="Arial" w:hAnsi="Arial" w:cs="Arial"/>
          <w:sz w:val="24"/>
          <w:szCs w:val="24"/>
        </w:rPr>
        <w:t xml:space="preserve"> que sensibilizar la urea y la creatinina en un solo elemento como marcador de retención de productos nitrogenados hace más sencillo el diagnóstico precoz d</w:t>
      </w:r>
      <w:r w:rsidR="009C689F">
        <w:rPr>
          <w:rFonts w:ascii="Arial" w:hAnsi="Arial" w:cs="Arial"/>
          <w:sz w:val="24"/>
          <w:szCs w:val="24"/>
        </w:rPr>
        <w:t xml:space="preserve">e </w:t>
      </w:r>
      <w:r w:rsidR="009C689F">
        <w:rPr>
          <w:rFonts w:ascii="Arial" w:hAnsi="Arial" w:cs="Arial"/>
          <w:sz w:val="24"/>
          <w:szCs w:val="24"/>
        </w:rPr>
        <w:lastRenderedPageBreak/>
        <w:t xml:space="preserve">esta entidad. También muestra como el antecedente de cirrosis hepática </w:t>
      </w:r>
      <w:r w:rsidR="00BA7665">
        <w:rPr>
          <w:rFonts w:ascii="Arial" w:hAnsi="Arial" w:cs="Arial"/>
          <w:sz w:val="24"/>
          <w:szCs w:val="24"/>
        </w:rPr>
        <w:t xml:space="preserve">fue otro marcador </w:t>
      </w:r>
      <w:r w:rsidR="009C689F">
        <w:rPr>
          <w:rFonts w:ascii="Arial" w:hAnsi="Arial" w:cs="Arial"/>
          <w:sz w:val="24"/>
          <w:szCs w:val="24"/>
        </w:rPr>
        <w:t>que</w:t>
      </w:r>
      <w:r w:rsidR="00BA7665">
        <w:rPr>
          <w:rFonts w:ascii="Arial" w:hAnsi="Arial" w:cs="Arial"/>
          <w:sz w:val="24"/>
          <w:szCs w:val="24"/>
        </w:rPr>
        <w:t xml:space="preserve"> se asociaba a la mortalidad.</w:t>
      </w:r>
      <w:r w:rsidR="009C689F">
        <w:rPr>
          <w:rFonts w:ascii="Arial" w:hAnsi="Arial" w:cs="Arial"/>
          <w:sz w:val="24"/>
          <w:szCs w:val="24"/>
        </w:rPr>
        <w:t xml:space="preserve"> </w:t>
      </w:r>
    </w:p>
    <w:p w:rsidR="000C3DC8" w:rsidRDefault="007F5DA4" w:rsidP="00561CD6">
      <w:pPr>
        <w:spacing w:line="360" w:lineRule="auto"/>
        <w:jc w:val="both"/>
        <w:rPr>
          <w:rFonts w:ascii="Arial" w:hAnsi="Arial" w:cs="Arial"/>
          <w:sz w:val="24"/>
          <w:szCs w:val="24"/>
        </w:rPr>
      </w:pPr>
      <w:r>
        <w:rPr>
          <w:rFonts w:ascii="Arial" w:hAnsi="Arial" w:cs="Arial"/>
          <w:sz w:val="24"/>
          <w:szCs w:val="24"/>
        </w:rPr>
        <w:t>La presencia de enfermedad renal crónica previa fue un factor pronóstico de mortalidad en los pacientes con injuria renal aguda prer</w:t>
      </w:r>
      <w:r w:rsidR="00E30FF4">
        <w:rPr>
          <w:rFonts w:ascii="Arial" w:hAnsi="Arial" w:cs="Arial"/>
          <w:sz w:val="24"/>
          <w:szCs w:val="24"/>
        </w:rPr>
        <w:t>r</w:t>
      </w:r>
      <w:r>
        <w:rPr>
          <w:rFonts w:ascii="Arial" w:hAnsi="Arial" w:cs="Arial"/>
          <w:sz w:val="24"/>
          <w:szCs w:val="24"/>
        </w:rPr>
        <w:t>enal según el análisis multivaria</w:t>
      </w:r>
      <w:r w:rsidR="00ED6CD1">
        <w:rPr>
          <w:rFonts w:ascii="Arial" w:hAnsi="Arial" w:cs="Arial"/>
          <w:sz w:val="24"/>
          <w:szCs w:val="24"/>
        </w:rPr>
        <w:t>ble</w:t>
      </w:r>
      <w:r>
        <w:rPr>
          <w:rFonts w:ascii="Arial" w:hAnsi="Arial" w:cs="Arial"/>
          <w:sz w:val="24"/>
          <w:szCs w:val="24"/>
        </w:rPr>
        <w:t xml:space="preserve"> del presente estudio. </w:t>
      </w:r>
      <w:r w:rsidR="003D37FD">
        <w:rPr>
          <w:rFonts w:ascii="Arial" w:hAnsi="Arial" w:cs="Arial"/>
          <w:sz w:val="24"/>
          <w:szCs w:val="24"/>
        </w:rPr>
        <w:t xml:space="preserve">En un estudio peruano </w:t>
      </w:r>
      <w:r w:rsidR="003D37FD" w:rsidRPr="00EA703E">
        <w:rPr>
          <w:rFonts w:ascii="Arial" w:hAnsi="Arial" w:cs="Arial"/>
          <w:sz w:val="24"/>
          <w:szCs w:val="24"/>
          <w:vertAlign w:val="superscript"/>
        </w:rPr>
        <w:t>(31)</w:t>
      </w:r>
      <w:r w:rsidR="003D37FD">
        <w:rPr>
          <w:rFonts w:ascii="Arial" w:hAnsi="Arial" w:cs="Arial"/>
          <w:sz w:val="24"/>
          <w:szCs w:val="24"/>
        </w:rPr>
        <w:t xml:space="preserve"> se informa que la presencia de comorbilidades existentes, entre ellas la ERC previa representa un riesgo incrementado.</w:t>
      </w:r>
    </w:p>
    <w:p w:rsidR="00AE7479" w:rsidRDefault="00ED6CD1" w:rsidP="00561CD6">
      <w:pPr>
        <w:spacing w:line="360" w:lineRule="auto"/>
        <w:jc w:val="both"/>
        <w:rPr>
          <w:rFonts w:ascii="Arial" w:hAnsi="Arial" w:cs="Arial"/>
          <w:sz w:val="24"/>
          <w:szCs w:val="24"/>
        </w:rPr>
      </w:pPr>
      <w:r>
        <w:rPr>
          <w:rFonts w:ascii="Arial" w:hAnsi="Arial" w:cs="Arial"/>
          <w:sz w:val="24"/>
          <w:szCs w:val="24"/>
        </w:rPr>
        <w:t>En un</w:t>
      </w:r>
      <w:r w:rsidR="007F05BE">
        <w:rPr>
          <w:rFonts w:ascii="Arial" w:hAnsi="Arial" w:cs="Arial"/>
          <w:sz w:val="24"/>
          <w:szCs w:val="24"/>
        </w:rPr>
        <w:t xml:space="preserve"> artículo estadounidense </w:t>
      </w:r>
      <w:r w:rsidR="007F05BE" w:rsidRPr="00EA703E">
        <w:rPr>
          <w:rFonts w:ascii="Arial" w:hAnsi="Arial" w:cs="Arial"/>
          <w:sz w:val="24"/>
          <w:szCs w:val="24"/>
          <w:vertAlign w:val="superscript"/>
        </w:rPr>
        <w:t>(32)</w:t>
      </w:r>
      <w:r w:rsidR="007F05BE">
        <w:rPr>
          <w:rFonts w:ascii="Arial" w:hAnsi="Arial" w:cs="Arial"/>
          <w:sz w:val="24"/>
          <w:szCs w:val="24"/>
        </w:rPr>
        <w:t xml:space="preserve"> el cociente urea/creatinina fue utilizado para predecir los pacientes que necesitaban terapias de reemplazo renal, el 72% de los pacientes que fueron hemodializados presentaron cifras del cociente superiores a 30, </w:t>
      </w:r>
      <w:r w:rsidR="00AE7479">
        <w:rPr>
          <w:rFonts w:ascii="Arial" w:hAnsi="Arial" w:cs="Arial"/>
          <w:sz w:val="24"/>
          <w:szCs w:val="24"/>
        </w:rPr>
        <w:t>el resto de los pacientes que no fue sometido a las terapias de remplazo renal, no presentaron cifras elevadas del cociente, aunque desarrollaron casi por igual complicaciones, planteamiento que le resta sensibilidad al cociente.</w:t>
      </w:r>
    </w:p>
    <w:p w:rsidR="001F13B5" w:rsidRDefault="001F13B5" w:rsidP="00561CD6">
      <w:pPr>
        <w:spacing w:line="360" w:lineRule="auto"/>
        <w:jc w:val="both"/>
        <w:rPr>
          <w:rFonts w:ascii="Arial" w:hAnsi="Arial" w:cs="Arial"/>
          <w:sz w:val="24"/>
          <w:szCs w:val="24"/>
        </w:rPr>
      </w:pPr>
      <w:proofErr w:type="spellStart"/>
      <w:r>
        <w:rPr>
          <w:rFonts w:ascii="Arial" w:hAnsi="Arial" w:cs="Arial"/>
          <w:sz w:val="24"/>
          <w:szCs w:val="24"/>
        </w:rPr>
        <w:t>Albinez</w:t>
      </w:r>
      <w:proofErr w:type="spellEnd"/>
      <w:r>
        <w:rPr>
          <w:rFonts w:ascii="Arial" w:hAnsi="Arial" w:cs="Arial"/>
          <w:sz w:val="24"/>
          <w:szCs w:val="24"/>
        </w:rPr>
        <w:t xml:space="preserve"> y colaboradores </w:t>
      </w:r>
      <w:r w:rsidRPr="00EA703E">
        <w:rPr>
          <w:rFonts w:ascii="Arial" w:hAnsi="Arial" w:cs="Arial"/>
          <w:sz w:val="24"/>
          <w:szCs w:val="24"/>
          <w:vertAlign w:val="superscript"/>
        </w:rPr>
        <w:t>(33)</w:t>
      </w:r>
      <w:r>
        <w:rPr>
          <w:rFonts w:ascii="Arial" w:hAnsi="Arial" w:cs="Arial"/>
          <w:sz w:val="24"/>
          <w:szCs w:val="24"/>
        </w:rPr>
        <w:t xml:space="preserve"> compararon el valor predictivo de mortalidad en el shock séptico entre distintas clasificaciones del fracaso renal agudo y determinaron que el cociente urea/creatinina poseía cierto valor predictivo en la serie estudiada.</w:t>
      </w:r>
    </w:p>
    <w:p w:rsidR="00E806FB" w:rsidRDefault="00E806FB" w:rsidP="00561CD6">
      <w:pPr>
        <w:spacing w:line="360" w:lineRule="auto"/>
        <w:jc w:val="both"/>
        <w:rPr>
          <w:rFonts w:ascii="Arial" w:hAnsi="Arial" w:cs="Arial"/>
          <w:sz w:val="24"/>
          <w:szCs w:val="24"/>
        </w:rPr>
      </w:pPr>
      <w:r>
        <w:rPr>
          <w:rFonts w:ascii="Arial" w:hAnsi="Arial" w:cs="Arial"/>
          <w:sz w:val="24"/>
          <w:szCs w:val="24"/>
        </w:rPr>
        <w:t xml:space="preserve">Un estudio argentino </w:t>
      </w:r>
      <w:r w:rsidRPr="00EA703E">
        <w:rPr>
          <w:rFonts w:ascii="Arial" w:hAnsi="Arial" w:cs="Arial"/>
          <w:sz w:val="24"/>
          <w:szCs w:val="24"/>
          <w:vertAlign w:val="superscript"/>
        </w:rPr>
        <w:t>(34)</w:t>
      </w:r>
      <w:r>
        <w:rPr>
          <w:rFonts w:ascii="Arial" w:hAnsi="Arial" w:cs="Arial"/>
          <w:sz w:val="24"/>
          <w:szCs w:val="24"/>
        </w:rPr>
        <w:t xml:space="preserve"> de 269 pacientes informa cómo valores elevados de cociente urea/creatinina están asociados a la aparición de comorbilidades y a la prolongación de la estancia en las unidades de cuidados intensivos.</w:t>
      </w:r>
    </w:p>
    <w:p w:rsidR="003440DA" w:rsidRDefault="003440DA" w:rsidP="00561CD6">
      <w:pPr>
        <w:spacing w:line="360" w:lineRule="auto"/>
        <w:jc w:val="both"/>
        <w:rPr>
          <w:rFonts w:ascii="Arial" w:hAnsi="Arial" w:cs="Arial"/>
          <w:sz w:val="24"/>
          <w:szCs w:val="24"/>
        </w:rPr>
      </w:pPr>
      <w:r>
        <w:rPr>
          <w:rFonts w:ascii="Arial" w:hAnsi="Arial" w:cs="Arial"/>
          <w:sz w:val="24"/>
          <w:szCs w:val="24"/>
        </w:rPr>
        <w:t xml:space="preserve">El cociente urea/creatinina ha sido evaluado para predecir el tipo de injuria renal aguda y el tipo de complicaciones a desencadenar </w:t>
      </w:r>
      <w:r w:rsidRPr="00EA703E">
        <w:rPr>
          <w:rFonts w:ascii="Arial" w:hAnsi="Arial" w:cs="Arial"/>
          <w:sz w:val="24"/>
          <w:szCs w:val="24"/>
          <w:vertAlign w:val="superscript"/>
        </w:rPr>
        <w:t>(35,36)</w:t>
      </w:r>
      <w:r>
        <w:rPr>
          <w:rFonts w:ascii="Arial" w:hAnsi="Arial" w:cs="Arial"/>
          <w:sz w:val="24"/>
          <w:szCs w:val="24"/>
        </w:rPr>
        <w:t xml:space="preserve"> y para pronosticar la recuperación de la función renal en pacientes luego de un evento de IRA.</w:t>
      </w:r>
      <w:r w:rsidR="00EA703E">
        <w:rPr>
          <w:rFonts w:ascii="Arial" w:hAnsi="Arial" w:cs="Arial"/>
          <w:sz w:val="24"/>
          <w:szCs w:val="24"/>
        </w:rPr>
        <w:t xml:space="preserve"> </w:t>
      </w:r>
      <w:r w:rsidR="00EA703E" w:rsidRPr="00EA703E">
        <w:rPr>
          <w:rFonts w:ascii="Arial" w:hAnsi="Arial" w:cs="Arial"/>
          <w:sz w:val="24"/>
          <w:szCs w:val="24"/>
          <w:vertAlign w:val="superscript"/>
        </w:rPr>
        <w:t>(37-39)</w:t>
      </w:r>
      <w:r>
        <w:rPr>
          <w:rFonts w:ascii="Arial" w:hAnsi="Arial" w:cs="Arial"/>
          <w:sz w:val="24"/>
          <w:szCs w:val="24"/>
        </w:rPr>
        <w:t xml:space="preserve"> Pero no existen publicados en la literatura nacional artículos que evalúen dicho cociente como predictor de mortalidad a corto plazo.</w:t>
      </w:r>
    </w:p>
    <w:p w:rsidR="00B848FE" w:rsidRDefault="0056120D" w:rsidP="00561CD6">
      <w:pPr>
        <w:spacing w:line="360" w:lineRule="auto"/>
        <w:jc w:val="both"/>
        <w:rPr>
          <w:rFonts w:ascii="Arial" w:hAnsi="Arial" w:cs="Arial"/>
          <w:sz w:val="24"/>
          <w:szCs w:val="24"/>
        </w:rPr>
      </w:pPr>
      <w:r>
        <w:rPr>
          <w:rFonts w:ascii="Arial" w:hAnsi="Arial" w:cs="Arial"/>
          <w:sz w:val="24"/>
          <w:szCs w:val="24"/>
        </w:rPr>
        <w:t>Otro factor pronóstico de mortalidad a corto plazo en la IRA prer</w:t>
      </w:r>
      <w:r w:rsidR="00E30FF4">
        <w:rPr>
          <w:rFonts w:ascii="Arial" w:hAnsi="Arial" w:cs="Arial"/>
          <w:sz w:val="24"/>
          <w:szCs w:val="24"/>
        </w:rPr>
        <w:t>r</w:t>
      </w:r>
      <w:r>
        <w:rPr>
          <w:rFonts w:ascii="Arial" w:hAnsi="Arial" w:cs="Arial"/>
          <w:sz w:val="24"/>
          <w:szCs w:val="24"/>
        </w:rPr>
        <w:t xml:space="preserve">enal según el análisis multivariado del presente estudio fue la hipoalbuminemia. </w:t>
      </w:r>
      <w:r w:rsidR="00B848FE">
        <w:rPr>
          <w:rFonts w:ascii="Arial" w:hAnsi="Arial" w:cs="Arial"/>
          <w:sz w:val="24"/>
          <w:szCs w:val="24"/>
        </w:rPr>
        <w:t>García-</w:t>
      </w:r>
      <w:proofErr w:type="spellStart"/>
      <w:r w:rsidR="00B848FE">
        <w:rPr>
          <w:rFonts w:ascii="Arial" w:hAnsi="Arial" w:cs="Arial"/>
          <w:sz w:val="24"/>
          <w:szCs w:val="24"/>
        </w:rPr>
        <w:t>Camin</w:t>
      </w:r>
      <w:proofErr w:type="spellEnd"/>
      <w:r w:rsidR="00B848FE">
        <w:rPr>
          <w:rFonts w:ascii="Arial" w:hAnsi="Arial" w:cs="Arial"/>
          <w:sz w:val="24"/>
          <w:szCs w:val="24"/>
        </w:rPr>
        <w:t xml:space="preserve"> y colaboradores </w:t>
      </w:r>
      <w:r w:rsidR="00B848FE" w:rsidRPr="00EA703E">
        <w:rPr>
          <w:rFonts w:ascii="Arial" w:hAnsi="Arial" w:cs="Arial"/>
          <w:sz w:val="24"/>
          <w:szCs w:val="24"/>
          <w:vertAlign w:val="superscript"/>
        </w:rPr>
        <w:t>(40)</w:t>
      </w:r>
      <w:r w:rsidR="00B848FE">
        <w:rPr>
          <w:rFonts w:ascii="Arial" w:hAnsi="Arial" w:cs="Arial"/>
          <w:sz w:val="24"/>
          <w:szCs w:val="24"/>
        </w:rPr>
        <w:t xml:space="preserve"> en un estudio español observacional retrospectivo realizado en </w:t>
      </w:r>
      <w:r w:rsidR="00B848FE">
        <w:rPr>
          <w:rFonts w:ascii="Arial" w:hAnsi="Arial" w:cs="Arial"/>
          <w:sz w:val="24"/>
          <w:szCs w:val="24"/>
        </w:rPr>
        <w:lastRenderedPageBreak/>
        <w:t xml:space="preserve">tres etapas con una muestra de 127 151 pacientes con el objetivo de describir la prevalencia de consumo y la incidencia de fracaso renal agudo extrahospitalario secundario a fármacos, informan que más  de la mitad de los pacientes presentaban hipoalbuminemia, siendo grave en el 19% de </w:t>
      </w:r>
      <w:r w:rsidR="00B848FE" w:rsidRPr="00424D12">
        <w:rPr>
          <w:rFonts w:ascii="Arial" w:hAnsi="Arial" w:cs="Arial"/>
          <w:sz w:val="24"/>
          <w:szCs w:val="24"/>
        </w:rPr>
        <w:t>los pacientes.</w:t>
      </w:r>
    </w:p>
    <w:p w:rsidR="003D37FD" w:rsidRDefault="00424D12" w:rsidP="00561CD6">
      <w:pPr>
        <w:spacing w:line="360" w:lineRule="auto"/>
        <w:jc w:val="both"/>
        <w:rPr>
          <w:rFonts w:ascii="Arial" w:hAnsi="Arial" w:cs="Arial"/>
          <w:sz w:val="24"/>
          <w:szCs w:val="24"/>
        </w:rPr>
      </w:pPr>
      <w:r>
        <w:rPr>
          <w:rFonts w:ascii="Arial" w:hAnsi="Arial" w:cs="Arial"/>
          <w:sz w:val="24"/>
          <w:szCs w:val="24"/>
        </w:rPr>
        <w:t xml:space="preserve">Cieza  </w:t>
      </w:r>
      <w:r w:rsidRPr="003D069B">
        <w:rPr>
          <w:rFonts w:ascii="Arial" w:hAnsi="Arial" w:cs="Arial"/>
          <w:sz w:val="24"/>
          <w:szCs w:val="24"/>
          <w:vertAlign w:val="superscript"/>
        </w:rPr>
        <w:t>(41)</w:t>
      </w:r>
      <w:r>
        <w:rPr>
          <w:rFonts w:ascii="Arial" w:hAnsi="Arial" w:cs="Arial"/>
          <w:sz w:val="24"/>
          <w:szCs w:val="24"/>
        </w:rPr>
        <w:t xml:space="preserve"> en un estudio que evaluó el pronóstico de la injuria renal aguda a corto y mediano plazo reporta que los pacientes con menores valores de albúmina tuvieron menor supervivencia, y específicamente las medias de supervivencia se separaron drásticamente a partir del mes 12 de seguimiento presentando una significación estadística p=0,001.</w:t>
      </w:r>
    </w:p>
    <w:p w:rsidR="00093962" w:rsidRDefault="00093962" w:rsidP="00561CD6">
      <w:pPr>
        <w:spacing w:line="360" w:lineRule="auto"/>
        <w:jc w:val="both"/>
        <w:rPr>
          <w:rFonts w:ascii="Arial" w:hAnsi="Arial" w:cs="Arial"/>
          <w:sz w:val="24"/>
          <w:szCs w:val="24"/>
        </w:rPr>
      </w:pPr>
      <w:r>
        <w:rPr>
          <w:rFonts w:ascii="Arial" w:hAnsi="Arial" w:cs="Arial"/>
          <w:sz w:val="24"/>
          <w:szCs w:val="24"/>
        </w:rPr>
        <w:t xml:space="preserve">Un estudio prospectivo realizado en Taiwán en 168 pacientes publicado en el año 2013 informa como el cociente urea/creatinina, además de la interleucina 18 fueron predictores de mortalidad por injuria renal aguda en pacientes con cirrosis hepática y sepsis severa. </w:t>
      </w:r>
      <w:r w:rsidRPr="003D069B">
        <w:rPr>
          <w:rFonts w:ascii="Arial" w:hAnsi="Arial" w:cs="Arial"/>
          <w:sz w:val="24"/>
          <w:szCs w:val="24"/>
          <w:vertAlign w:val="superscript"/>
        </w:rPr>
        <w:t>(42)</w:t>
      </w:r>
      <w:r>
        <w:rPr>
          <w:rFonts w:ascii="Arial" w:hAnsi="Arial" w:cs="Arial"/>
          <w:sz w:val="24"/>
          <w:szCs w:val="24"/>
        </w:rPr>
        <w:t xml:space="preserve"> Al analizar la tabla </w:t>
      </w:r>
      <w:r w:rsidR="00ED6CD1">
        <w:rPr>
          <w:rFonts w:ascii="Arial" w:hAnsi="Arial" w:cs="Arial"/>
          <w:sz w:val="24"/>
          <w:szCs w:val="24"/>
        </w:rPr>
        <w:t>4</w:t>
      </w:r>
      <w:r>
        <w:rPr>
          <w:rFonts w:ascii="Arial" w:hAnsi="Arial" w:cs="Arial"/>
          <w:sz w:val="24"/>
          <w:szCs w:val="24"/>
        </w:rPr>
        <w:t xml:space="preserve"> del presente trabajo se observa cómo se obtuvo un área bajo la curva ROC de 0,897 con un intervalo de confianza de 0,812 a un valor tan alto como 0,982; dicha significación estadística está respaldada por el valor predictivo positivo de </w:t>
      </w:r>
      <w:r w:rsidR="002E4AC4">
        <w:rPr>
          <w:rFonts w:ascii="Arial" w:hAnsi="Arial" w:cs="Arial"/>
          <w:sz w:val="24"/>
          <w:szCs w:val="24"/>
        </w:rPr>
        <w:t>89.47</w:t>
      </w:r>
      <w:r>
        <w:rPr>
          <w:rFonts w:ascii="Arial" w:hAnsi="Arial" w:cs="Arial"/>
          <w:sz w:val="24"/>
          <w:szCs w:val="24"/>
        </w:rPr>
        <w:t xml:space="preserve">% observado en la tabla </w:t>
      </w:r>
      <w:r w:rsidR="00ED6CD1">
        <w:rPr>
          <w:rFonts w:ascii="Arial" w:hAnsi="Arial" w:cs="Arial"/>
          <w:sz w:val="24"/>
          <w:szCs w:val="24"/>
        </w:rPr>
        <w:t>5</w:t>
      </w:r>
      <w:r>
        <w:rPr>
          <w:rFonts w:ascii="Arial" w:hAnsi="Arial" w:cs="Arial"/>
          <w:sz w:val="24"/>
          <w:szCs w:val="24"/>
        </w:rPr>
        <w:t xml:space="preserve">. </w:t>
      </w:r>
    </w:p>
    <w:p w:rsidR="0085650F" w:rsidRDefault="00D1105D" w:rsidP="00561CD6">
      <w:pPr>
        <w:spacing w:line="360" w:lineRule="auto"/>
        <w:jc w:val="both"/>
        <w:rPr>
          <w:rFonts w:ascii="Arial" w:hAnsi="Arial" w:cs="Arial"/>
          <w:sz w:val="24"/>
          <w:szCs w:val="24"/>
        </w:rPr>
      </w:pPr>
      <w:r>
        <w:rPr>
          <w:rFonts w:ascii="Arial" w:hAnsi="Arial" w:cs="Arial"/>
          <w:sz w:val="24"/>
          <w:szCs w:val="24"/>
        </w:rPr>
        <w:t xml:space="preserve">Al comparar estos resultados con los de </w:t>
      </w:r>
      <w:proofErr w:type="spellStart"/>
      <w:r>
        <w:rPr>
          <w:rFonts w:ascii="Arial" w:hAnsi="Arial" w:cs="Arial"/>
          <w:sz w:val="24"/>
          <w:szCs w:val="24"/>
        </w:rPr>
        <w:t>Bruyére</w:t>
      </w:r>
      <w:proofErr w:type="spellEnd"/>
      <w:r>
        <w:rPr>
          <w:rFonts w:ascii="Arial" w:hAnsi="Arial" w:cs="Arial"/>
          <w:sz w:val="24"/>
          <w:szCs w:val="24"/>
        </w:rPr>
        <w:t xml:space="preserve"> </w:t>
      </w:r>
      <w:r w:rsidRPr="003D069B">
        <w:rPr>
          <w:rFonts w:ascii="Arial" w:hAnsi="Arial" w:cs="Arial"/>
          <w:sz w:val="24"/>
          <w:szCs w:val="24"/>
          <w:vertAlign w:val="superscript"/>
        </w:rPr>
        <w:t>(43)</w:t>
      </w:r>
      <w:r>
        <w:rPr>
          <w:rFonts w:ascii="Arial" w:hAnsi="Arial" w:cs="Arial"/>
          <w:sz w:val="24"/>
          <w:szCs w:val="24"/>
        </w:rPr>
        <w:t xml:space="preserve"> en Francia, </w:t>
      </w:r>
      <w:r w:rsidR="0085650F">
        <w:rPr>
          <w:rFonts w:ascii="Arial" w:hAnsi="Arial" w:cs="Arial"/>
          <w:sz w:val="24"/>
          <w:szCs w:val="24"/>
        </w:rPr>
        <w:t xml:space="preserve">se aprecian algunas discrepancias: en el estudio citado, </w:t>
      </w:r>
      <w:proofErr w:type="spellStart"/>
      <w:r w:rsidR="0085650F">
        <w:rPr>
          <w:rFonts w:ascii="Arial" w:hAnsi="Arial" w:cs="Arial"/>
          <w:sz w:val="24"/>
          <w:szCs w:val="24"/>
        </w:rPr>
        <w:t>multicéntrico</w:t>
      </w:r>
      <w:proofErr w:type="spellEnd"/>
      <w:r w:rsidR="0085650F">
        <w:rPr>
          <w:rFonts w:ascii="Arial" w:hAnsi="Arial" w:cs="Arial"/>
          <w:sz w:val="24"/>
          <w:szCs w:val="24"/>
        </w:rPr>
        <w:t xml:space="preserve"> </w:t>
      </w:r>
      <w:proofErr w:type="spellStart"/>
      <w:r w:rsidR="0085650F">
        <w:rPr>
          <w:rFonts w:ascii="Arial" w:hAnsi="Arial" w:cs="Arial"/>
          <w:sz w:val="24"/>
          <w:szCs w:val="24"/>
        </w:rPr>
        <w:t>randomizado</w:t>
      </w:r>
      <w:proofErr w:type="spellEnd"/>
      <w:r w:rsidR="0085650F">
        <w:rPr>
          <w:rFonts w:ascii="Arial" w:hAnsi="Arial" w:cs="Arial"/>
          <w:sz w:val="24"/>
          <w:szCs w:val="24"/>
        </w:rPr>
        <w:t xml:space="preserve"> y prospectivo, se observó como el cociente urea/creatinina tuvo poca capacidad predictiva para determinar a los pacientes que necesitaron terapia dialítica. Además pacientes con cifras menores del cociente desencadenaron complicaciones por igual que aquellos con cifras menores.</w:t>
      </w:r>
    </w:p>
    <w:p w:rsidR="00B5379D" w:rsidRDefault="00B5379D" w:rsidP="00561CD6">
      <w:pPr>
        <w:spacing w:line="360" w:lineRule="auto"/>
        <w:jc w:val="both"/>
        <w:rPr>
          <w:rFonts w:ascii="Arial" w:hAnsi="Arial" w:cs="Arial"/>
          <w:sz w:val="24"/>
          <w:szCs w:val="24"/>
        </w:rPr>
      </w:pPr>
      <w:r>
        <w:rPr>
          <w:rFonts w:ascii="Arial" w:hAnsi="Arial" w:cs="Arial"/>
          <w:sz w:val="24"/>
          <w:szCs w:val="24"/>
        </w:rPr>
        <w:t>El cociente urea/creatinina es un marcador de fácil cálculo e implementación, es aplicable a todo tipo de población y a diferencia de otros modelos predictivos no requiere de variables de difícil obtención; por lo que ha sido propuesto por diferentes autores  como herramienta para el seguimiento de los pacientes sin importar la clasificación de la injuria renal aguda.</w:t>
      </w:r>
      <w:r w:rsidR="008655EC">
        <w:rPr>
          <w:rFonts w:ascii="Arial" w:hAnsi="Arial" w:cs="Arial"/>
          <w:sz w:val="24"/>
          <w:szCs w:val="24"/>
        </w:rPr>
        <w:t xml:space="preserve"> </w:t>
      </w:r>
      <w:r w:rsidR="008655EC" w:rsidRPr="003D069B">
        <w:rPr>
          <w:rFonts w:ascii="Arial" w:hAnsi="Arial" w:cs="Arial"/>
          <w:sz w:val="24"/>
          <w:szCs w:val="24"/>
          <w:vertAlign w:val="superscript"/>
        </w:rPr>
        <w:t>(44-46)</w:t>
      </w:r>
      <w:r>
        <w:rPr>
          <w:rFonts w:ascii="Arial" w:hAnsi="Arial" w:cs="Arial"/>
          <w:sz w:val="24"/>
          <w:szCs w:val="24"/>
        </w:rPr>
        <w:t xml:space="preserve"> A estos comentarios se suman los autores del presente trabajo, los que creen conveniente el manejo de dicho cociente en las salas de atención al paciente grave.</w:t>
      </w:r>
    </w:p>
    <w:p w:rsidR="004C49D1" w:rsidRDefault="00C64897" w:rsidP="00561CD6">
      <w:pPr>
        <w:spacing w:line="360" w:lineRule="auto"/>
        <w:jc w:val="both"/>
        <w:rPr>
          <w:rFonts w:ascii="Arial" w:hAnsi="Arial" w:cs="Arial"/>
          <w:sz w:val="24"/>
          <w:szCs w:val="24"/>
        </w:rPr>
      </w:pPr>
      <w:r>
        <w:rPr>
          <w:rFonts w:ascii="Arial" w:hAnsi="Arial" w:cs="Arial"/>
          <w:sz w:val="24"/>
          <w:szCs w:val="24"/>
        </w:rPr>
        <w:lastRenderedPageBreak/>
        <w:t>Henríquez</w:t>
      </w:r>
      <w:r w:rsidR="003F0F65">
        <w:rPr>
          <w:rFonts w:ascii="Arial" w:hAnsi="Arial" w:cs="Arial"/>
          <w:sz w:val="24"/>
          <w:szCs w:val="24"/>
        </w:rPr>
        <w:t xml:space="preserve">-Palop </w:t>
      </w:r>
      <w:r w:rsidR="003F0F65" w:rsidRPr="003D069B">
        <w:rPr>
          <w:rFonts w:ascii="Arial" w:hAnsi="Arial" w:cs="Arial"/>
          <w:sz w:val="24"/>
          <w:szCs w:val="24"/>
          <w:vertAlign w:val="superscript"/>
        </w:rPr>
        <w:t>(47)</w:t>
      </w:r>
      <w:r w:rsidR="003F0F65">
        <w:rPr>
          <w:rFonts w:ascii="Arial" w:hAnsi="Arial" w:cs="Arial"/>
          <w:sz w:val="24"/>
          <w:szCs w:val="24"/>
        </w:rPr>
        <w:t xml:space="preserve"> informa que el cociente urea/creatinina es infravalorado en las salas de cuidados intensivos y que debe utilizarse de rutina en los pacientes con IRA para valorar mejora/empeoramiento de la función renal. Una variable que no alcanzó significación estadística en el análisis multivariado</w:t>
      </w:r>
      <w:r w:rsidR="004C49D1">
        <w:rPr>
          <w:rFonts w:ascii="Arial" w:hAnsi="Arial" w:cs="Arial"/>
          <w:sz w:val="24"/>
          <w:szCs w:val="24"/>
        </w:rPr>
        <w:t xml:space="preserve"> del presente estudio</w:t>
      </w:r>
      <w:r w:rsidR="003F0F65">
        <w:rPr>
          <w:rFonts w:ascii="Arial" w:hAnsi="Arial" w:cs="Arial"/>
          <w:sz w:val="24"/>
          <w:szCs w:val="24"/>
        </w:rPr>
        <w:t xml:space="preserve"> fue el hábito de fumar</w:t>
      </w:r>
      <w:r w:rsidR="004C49D1">
        <w:rPr>
          <w:rFonts w:ascii="Arial" w:hAnsi="Arial" w:cs="Arial"/>
          <w:sz w:val="24"/>
          <w:szCs w:val="24"/>
        </w:rPr>
        <w:t xml:space="preserve">, contrario a esto </w:t>
      </w:r>
      <w:r w:rsidR="00932638">
        <w:rPr>
          <w:rFonts w:ascii="Arial" w:hAnsi="Arial" w:cs="Arial"/>
          <w:sz w:val="24"/>
          <w:szCs w:val="24"/>
        </w:rPr>
        <w:t>Chávez-Hernández</w:t>
      </w:r>
      <w:r w:rsidR="004C49D1">
        <w:rPr>
          <w:rFonts w:ascii="Arial" w:hAnsi="Arial" w:cs="Arial"/>
          <w:sz w:val="24"/>
          <w:szCs w:val="24"/>
        </w:rPr>
        <w:t xml:space="preserve"> </w:t>
      </w:r>
      <w:r w:rsidR="004C49D1" w:rsidRPr="003D069B">
        <w:rPr>
          <w:rFonts w:ascii="Arial" w:hAnsi="Arial" w:cs="Arial"/>
          <w:sz w:val="24"/>
          <w:szCs w:val="24"/>
          <w:vertAlign w:val="superscript"/>
        </w:rPr>
        <w:t>(48)</w:t>
      </w:r>
      <w:r w:rsidR="004C49D1">
        <w:rPr>
          <w:rFonts w:ascii="Arial" w:hAnsi="Arial" w:cs="Arial"/>
          <w:sz w:val="24"/>
          <w:szCs w:val="24"/>
        </w:rPr>
        <w:t xml:space="preserve"> en una investigación </w:t>
      </w:r>
      <w:r w:rsidR="00932638">
        <w:rPr>
          <w:rFonts w:ascii="Arial" w:hAnsi="Arial" w:cs="Arial"/>
          <w:sz w:val="24"/>
          <w:szCs w:val="24"/>
        </w:rPr>
        <w:t>mexicana</w:t>
      </w:r>
      <w:r w:rsidR="004C49D1">
        <w:rPr>
          <w:rFonts w:ascii="Arial" w:hAnsi="Arial" w:cs="Arial"/>
          <w:sz w:val="24"/>
          <w:szCs w:val="24"/>
        </w:rPr>
        <w:t xml:space="preserve"> </w:t>
      </w:r>
      <w:r w:rsidR="00932638">
        <w:rPr>
          <w:rFonts w:ascii="Arial" w:hAnsi="Arial" w:cs="Arial"/>
          <w:sz w:val="24"/>
          <w:szCs w:val="24"/>
        </w:rPr>
        <w:t xml:space="preserve">recomienda la implementación del cociente, sin dejar de restarle importancia a los tradicionales </w:t>
      </w:r>
      <w:r w:rsidR="0004799A">
        <w:rPr>
          <w:rFonts w:ascii="Arial" w:hAnsi="Arial" w:cs="Arial"/>
          <w:sz w:val="24"/>
          <w:szCs w:val="24"/>
        </w:rPr>
        <w:t xml:space="preserve">marcadores. </w:t>
      </w:r>
    </w:p>
    <w:p w:rsidR="00915C41" w:rsidRDefault="00134B01" w:rsidP="00561CD6">
      <w:pPr>
        <w:spacing w:line="360" w:lineRule="auto"/>
        <w:jc w:val="both"/>
        <w:rPr>
          <w:rFonts w:ascii="Arial" w:hAnsi="Arial" w:cs="Arial"/>
          <w:sz w:val="24"/>
          <w:szCs w:val="24"/>
        </w:rPr>
      </w:pPr>
      <w:r>
        <w:rPr>
          <w:rFonts w:ascii="Arial" w:hAnsi="Arial" w:cs="Arial"/>
          <w:sz w:val="24"/>
          <w:szCs w:val="24"/>
        </w:rPr>
        <w:t xml:space="preserve">La variable hiperpotasemia si representó significación estadística según el análisis multivariado (p=0,025), </w:t>
      </w:r>
      <w:r w:rsidR="0004799A">
        <w:rPr>
          <w:rFonts w:ascii="Arial" w:hAnsi="Arial" w:cs="Arial"/>
          <w:sz w:val="24"/>
          <w:szCs w:val="24"/>
        </w:rPr>
        <w:t>Vicente-Hernández</w:t>
      </w:r>
      <w:r>
        <w:rPr>
          <w:rFonts w:ascii="Arial" w:hAnsi="Arial" w:cs="Arial"/>
          <w:sz w:val="24"/>
          <w:szCs w:val="24"/>
        </w:rPr>
        <w:t xml:space="preserve"> </w:t>
      </w:r>
      <w:r w:rsidRPr="003D069B">
        <w:rPr>
          <w:rFonts w:ascii="Arial" w:hAnsi="Arial" w:cs="Arial"/>
          <w:sz w:val="24"/>
          <w:szCs w:val="24"/>
          <w:vertAlign w:val="superscript"/>
        </w:rPr>
        <w:t>(49)</w:t>
      </w:r>
      <w:r>
        <w:rPr>
          <w:rFonts w:ascii="Arial" w:hAnsi="Arial" w:cs="Arial"/>
          <w:sz w:val="24"/>
          <w:szCs w:val="24"/>
        </w:rPr>
        <w:t xml:space="preserve"> </w:t>
      </w:r>
      <w:r w:rsidR="0004799A">
        <w:rPr>
          <w:rFonts w:ascii="Arial" w:hAnsi="Arial" w:cs="Arial"/>
          <w:sz w:val="24"/>
          <w:szCs w:val="24"/>
        </w:rPr>
        <w:t xml:space="preserve">informa que el desarrollo de hiperpotasemia en pacientes apendicectomizados con IRA fue un factor pronóstico de mortalidad. </w:t>
      </w:r>
      <w:proofErr w:type="spellStart"/>
      <w:r w:rsidR="00915C41">
        <w:rPr>
          <w:rFonts w:ascii="Arial" w:hAnsi="Arial" w:cs="Arial"/>
          <w:sz w:val="24"/>
          <w:szCs w:val="24"/>
        </w:rPr>
        <w:t>Doyle</w:t>
      </w:r>
      <w:proofErr w:type="spellEnd"/>
      <w:r w:rsidR="00915C41">
        <w:rPr>
          <w:rFonts w:ascii="Arial" w:hAnsi="Arial" w:cs="Arial"/>
          <w:sz w:val="24"/>
          <w:szCs w:val="24"/>
        </w:rPr>
        <w:t xml:space="preserve"> y colaboradores </w:t>
      </w:r>
      <w:r w:rsidR="00915C41" w:rsidRPr="003D069B">
        <w:rPr>
          <w:rFonts w:ascii="Arial" w:hAnsi="Arial" w:cs="Arial"/>
          <w:sz w:val="24"/>
          <w:szCs w:val="24"/>
          <w:vertAlign w:val="superscript"/>
        </w:rPr>
        <w:t xml:space="preserve">(50) </w:t>
      </w:r>
      <w:r w:rsidR="00915C41">
        <w:rPr>
          <w:rFonts w:ascii="Arial" w:hAnsi="Arial" w:cs="Arial"/>
          <w:sz w:val="24"/>
          <w:szCs w:val="24"/>
        </w:rPr>
        <w:t>en un estudio de casos y controles de pacientes con injuria renal aguda y asociación o no de hiperpotasemia, encontraron como hallazgos que las cifras elevadas de potasio desencadenaban complicaciones cardíacas y provocaban mayor número de defunciones.</w:t>
      </w:r>
    </w:p>
    <w:p w:rsidR="00500FDB" w:rsidRDefault="00403516" w:rsidP="00561CD6">
      <w:pPr>
        <w:spacing w:line="360" w:lineRule="auto"/>
        <w:jc w:val="both"/>
        <w:rPr>
          <w:rFonts w:ascii="Arial" w:hAnsi="Arial" w:cs="Arial"/>
          <w:sz w:val="24"/>
          <w:szCs w:val="24"/>
        </w:rPr>
      </w:pPr>
      <w:proofErr w:type="spellStart"/>
      <w:r>
        <w:rPr>
          <w:rFonts w:ascii="Arial" w:hAnsi="Arial" w:cs="Arial"/>
          <w:sz w:val="24"/>
          <w:szCs w:val="24"/>
        </w:rPr>
        <w:t>Aulagnon</w:t>
      </w:r>
      <w:proofErr w:type="spellEnd"/>
      <w:r>
        <w:rPr>
          <w:rFonts w:ascii="Arial" w:hAnsi="Arial" w:cs="Arial"/>
          <w:sz w:val="24"/>
          <w:szCs w:val="24"/>
        </w:rPr>
        <w:t xml:space="preserve"> </w:t>
      </w:r>
      <w:r w:rsidRPr="003D069B">
        <w:rPr>
          <w:rFonts w:ascii="Arial" w:hAnsi="Arial" w:cs="Arial"/>
          <w:sz w:val="24"/>
          <w:szCs w:val="24"/>
          <w:vertAlign w:val="superscript"/>
        </w:rPr>
        <w:t>(51)</w:t>
      </w:r>
      <w:r>
        <w:rPr>
          <w:rFonts w:ascii="Arial" w:hAnsi="Arial" w:cs="Arial"/>
          <w:sz w:val="24"/>
          <w:szCs w:val="24"/>
        </w:rPr>
        <w:t xml:space="preserve"> en una investigación en la que se comparó el cociente urea/creatinina con la excreción fraccionada de sodio encontró que el cociente discriminaba con mayor certeza a los pacientes con injuria renal de causa prer</w:t>
      </w:r>
      <w:r w:rsidR="00E30FF4">
        <w:rPr>
          <w:rFonts w:ascii="Arial" w:hAnsi="Arial" w:cs="Arial"/>
          <w:sz w:val="24"/>
          <w:szCs w:val="24"/>
        </w:rPr>
        <w:t>r</w:t>
      </w:r>
      <w:r>
        <w:rPr>
          <w:rFonts w:ascii="Arial" w:hAnsi="Arial" w:cs="Arial"/>
          <w:sz w:val="24"/>
          <w:szCs w:val="24"/>
        </w:rPr>
        <w:t xml:space="preserve">enal con respecto a la renal. Contrario a esto, </w:t>
      </w:r>
      <w:r w:rsidR="00500FDB">
        <w:rPr>
          <w:rFonts w:ascii="Arial" w:hAnsi="Arial" w:cs="Arial"/>
          <w:sz w:val="24"/>
          <w:szCs w:val="24"/>
        </w:rPr>
        <w:t xml:space="preserve">Chacón y colaboradores </w:t>
      </w:r>
      <w:r w:rsidR="00500FDB" w:rsidRPr="003D069B">
        <w:rPr>
          <w:rFonts w:ascii="Arial" w:hAnsi="Arial" w:cs="Arial"/>
          <w:sz w:val="24"/>
          <w:szCs w:val="24"/>
          <w:vertAlign w:val="superscript"/>
        </w:rPr>
        <w:t>(52)</w:t>
      </w:r>
      <w:r w:rsidR="00500FDB">
        <w:rPr>
          <w:rFonts w:ascii="Arial" w:hAnsi="Arial" w:cs="Arial"/>
          <w:sz w:val="24"/>
          <w:szCs w:val="24"/>
        </w:rPr>
        <w:t xml:space="preserve"> le confieren poca significación al cociente urea/creatinina, resultado que discrepa con el presente estudio.</w:t>
      </w:r>
    </w:p>
    <w:p w:rsidR="000B49A8" w:rsidRDefault="000B49A8" w:rsidP="00561CD6">
      <w:pPr>
        <w:spacing w:line="360" w:lineRule="auto"/>
        <w:jc w:val="both"/>
        <w:rPr>
          <w:rFonts w:ascii="Arial" w:hAnsi="Arial" w:cs="Arial"/>
          <w:sz w:val="24"/>
          <w:szCs w:val="24"/>
        </w:rPr>
      </w:pPr>
      <w:r>
        <w:rPr>
          <w:rFonts w:ascii="Arial" w:hAnsi="Arial" w:cs="Arial"/>
          <w:sz w:val="24"/>
          <w:szCs w:val="24"/>
        </w:rPr>
        <w:t>La presente investigación evaluó a corto plazo la eficacia del cociente urea/creatinina; pero se hace necesario la validación de biomarcadores o escalas que evalúen a largo plazo el riesgo de mortalidad de los pacientes con IRA, ya que luego de la recuperación del cuadro agudo, estos pacientes exponen mayor susceptibilidad a comorbilidades y a eventos de salud adversos con respecto a la población normal.</w:t>
      </w:r>
    </w:p>
    <w:p w:rsidR="00A065A5" w:rsidRDefault="00295630" w:rsidP="00561CD6">
      <w:pPr>
        <w:spacing w:line="360" w:lineRule="auto"/>
        <w:jc w:val="both"/>
        <w:rPr>
          <w:rFonts w:ascii="Arial" w:hAnsi="Arial" w:cs="Arial"/>
          <w:sz w:val="24"/>
          <w:szCs w:val="24"/>
        </w:rPr>
      </w:pPr>
      <w:r>
        <w:rPr>
          <w:rFonts w:ascii="Arial" w:hAnsi="Arial" w:cs="Arial"/>
          <w:sz w:val="24"/>
          <w:szCs w:val="24"/>
        </w:rPr>
        <w:t>La acidemia metabólica fue otro factor pronóstico de mortalidad en los pacientes con injuria renal aguda prer</w:t>
      </w:r>
      <w:r w:rsidR="00E30FF4">
        <w:rPr>
          <w:rFonts w:ascii="Arial" w:hAnsi="Arial" w:cs="Arial"/>
          <w:sz w:val="24"/>
          <w:szCs w:val="24"/>
        </w:rPr>
        <w:t>r</w:t>
      </w:r>
      <w:r>
        <w:rPr>
          <w:rFonts w:ascii="Arial" w:hAnsi="Arial" w:cs="Arial"/>
          <w:sz w:val="24"/>
          <w:szCs w:val="24"/>
        </w:rPr>
        <w:t xml:space="preserve">enal, tal y como se muestra en el análisis multivariado. </w:t>
      </w:r>
      <w:r w:rsidR="00A065A5">
        <w:rPr>
          <w:rFonts w:ascii="Arial" w:hAnsi="Arial" w:cs="Arial"/>
          <w:sz w:val="24"/>
          <w:szCs w:val="24"/>
        </w:rPr>
        <w:t xml:space="preserve">Meza-Ayala </w:t>
      </w:r>
      <w:r w:rsidR="00A065A5" w:rsidRPr="003D069B">
        <w:rPr>
          <w:rFonts w:ascii="Arial" w:hAnsi="Arial" w:cs="Arial"/>
          <w:sz w:val="24"/>
          <w:szCs w:val="24"/>
          <w:vertAlign w:val="superscript"/>
        </w:rPr>
        <w:t>(53)</w:t>
      </w:r>
      <w:r w:rsidR="00A065A5">
        <w:rPr>
          <w:rFonts w:ascii="Arial" w:hAnsi="Arial" w:cs="Arial"/>
          <w:sz w:val="24"/>
          <w:szCs w:val="24"/>
        </w:rPr>
        <w:t xml:space="preserve"> en un estudio mexicano informa que la acidemia metabólica se </w:t>
      </w:r>
      <w:r w:rsidR="00A065A5">
        <w:rPr>
          <w:rFonts w:ascii="Arial" w:hAnsi="Arial" w:cs="Arial"/>
          <w:sz w:val="24"/>
          <w:szCs w:val="24"/>
        </w:rPr>
        <w:lastRenderedPageBreak/>
        <w:t>evidenció en el 27% de los pacientes, y precisamente dentro de este grupo estuvo la mayor incidencia de mortalidad, infiriéndose la acidemia metabólica como factor pronóstico de mortalidad según el análisis multivariado de dicho estudio.</w:t>
      </w:r>
      <w:r w:rsidR="00590932">
        <w:rPr>
          <w:rFonts w:ascii="Arial" w:hAnsi="Arial" w:cs="Arial"/>
          <w:sz w:val="24"/>
          <w:szCs w:val="24"/>
        </w:rPr>
        <w:t xml:space="preserve"> Otro estudio español </w:t>
      </w:r>
      <w:r w:rsidR="00590932" w:rsidRPr="003D069B">
        <w:rPr>
          <w:rFonts w:ascii="Arial" w:hAnsi="Arial" w:cs="Arial"/>
          <w:sz w:val="24"/>
          <w:szCs w:val="24"/>
          <w:vertAlign w:val="superscript"/>
        </w:rPr>
        <w:t>(54)</w:t>
      </w:r>
      <w:r w:rsidR="00590932">
        <w:rPr>
          <w:rFonts w:ascii="Arial" w:hAnsi="Arial" w:cs="Arial"/>
          <w:sz w:val="24"/>
          <w:szCs w:val="24"/>
        </w:rPr>
        <w:t xml:space="preserve"> informa que los pacientes con acidemia metabólica tuvieron mayor estadía hospitalaria, motivo de complicaciones.</w:t>
      </w:r>
    </w:p>
    <w:p w:rsidR="00590932" w:rsidRDefault="00141A45" w:rsidP="00561CD6">
      <w:pPr>
        <w:spacing w:line="360" w:lineRule="auto"/>
        <w:jc w:val="both"/>
        <w:rPr>
          <w:rFonts w:ascii="Arial" w:hAnsi="Arial" w:cs="Arial"/>
          <w:sz w:val="24"/>
          <w:szCs w:val="24"/>
        </w:rPr>
      </w:pPr>
      <w:r w:rsidRPr="00141A45">
        <w:rPr>
          <w:rFonts w:ascii="Arial" w:hAnsi="Arial" w:cs="Arial"/>
          <w:sz w:val="24"/>
          <w:szCs w:val="24"/>
        </w:rPr>
        <w:t>Candela-</w:t>
      </w:r>
      <w:proofErr w:type="spellStart"/>
      <w:r w:rsidRPr="00141A45">
        <w:rPr>
          <w:rFonts w:ascii="Arial" w:hAnsi="Arial" w:cs="Arial"/>
          <w:sz w:val="24"/>
          <w:szCs w:val="24"/>
        </w:rPr>
        <w:t>Toha</w:t>
      </w:r>
      <w:proofErr w:type="spellEnd"/>
      <w:r>
        <w:rPr>
          <w:rFonts w:ascii="Arial" w:hAnsi="Arial" w:cs="Arial"/>
          <w:sz w:val="24"/>
          <w:szCs w:val="24"/>
        </w:rPr>
        <w:t xml:space="preserve"> </w:t>
      </w:r>
      <w:r w:rsidRPr="003D069B">
        <w:rPr>
          <w:rFonts w:ascii="Arial" w:hAnsi="Arial" w:cs="Arial"/>
          <w:sz w:val="24"/>
          <w:szCs w:val="24"/>
          <w:vertAlign w:val="superscript"/>
        </w:rPr>
        <w:t>(55)</w:t>
      </w:r>
      <w:r>
        <w:rPr>
          <w:rFonts w:ascii="Arial" w:hAnsi="Arial" w:cs="Arial"/>
          <w:sz w:val="24"/>
          <w:szCs w:val="24"/>
        </w:rPr>
        <w:t xml:space="preserve"> en un estudio retrospectivo de cohorte, demostró que el cociente urea/creatinina era eficaz para el diagnóstico de la injuria renal aguda, y que a la vez era útil como marcador de progresión de la enfermedad hacia estadios finales. </w:t>
      </w:r>
    </w:p>
    <w:p w:rsidR="00141A45" w:rsidRDefault="00141A45" w:rsidP="00561CD6">
      <w:pPr>
        <w:spacing w:line="360" w:lineRule="auto"/>
        <w:jc w:val="both"/>
        <w:rPr>
          <w:rFonts w:ascii="Arial" w:hAnsi="Arial" w:cs="Arial"/>
          <w:sz w:val="24"/>
          <w:szCs w:val="24"/>
        </w:rPr>
      </w:pPr>
      <w:r>
        <w:rPr>
          <w:rFonts w:ascii="Arial" w:hAnsi="Arial" w:cs="Arial"/>
          <w:sz w:val="24"/>
          <w:szCs w:val="24"/>
        </w:rPr>
        <w:t xml:space="preserve">El cociente urea/creatinina resultó ser de gran capacidad predictiva. Se evidencia por el </w:t>
      </w:r>
      <w:r w:rsidR="00F87AD6">
        <w:rPr>
          <w:rFonts w:ascii="Arial" w:hAnsi="Arial" w:cs="Arial"/>
          <w:sz w:val="24"/>
          <w:szCs w:val="24"/>
        </w:rPr>
        <w:t>área bajo la curva ROC obtenida, puede ser considerado como variable predictora de mortalidad en pacientes con injuria renal aguda prer</w:t>
      </w:r>
      <w:r w:rsidR="00BD403F">
        <w:rPr>
          <w:rFonts w:ascii="Arial" w:hAnsi="Arial" w:cs="Arial"/>
          <w:sz w:val="24"/>
          <w:szCs w:val="24"/>
        </w:rPr>
        <w:t>r</w:t>
      </w:r>
      <w:r w:rsidR="00F87AD6">
        <w:rPr>
          <w:rFonts w:ascii="Arial" w:hAnsi="Arial" w:cs="Arial"/>
          <w:sz w:val="24"/>
          <w:szCs w:val="24"/>
        </w:rPr>
        <w:t xml:space="preserve">enal. Rovira y </w:t>
      </w:r>
      <w:proofErr w:type="spellStart"/>
      <w:r w:rsidR="00F87AD6">
        <w:rPr>
          <w:rFonts w:ascii="Arial" w:hAnsi="Arial" w:cs="Arial"/>
          <w:sz w:val="24"/>
          <w:szCs w:val="24"/>
        </w:rPr>
        <w:t>Deckmann</w:t>
      </w:r>
      <w:proofErr w:type="spellEnd"/>
      <w:r w:rsidR="00F87AD6">
        <w:rPr>
          <w:rFonts w:ascii="Arial" w:hAnsi="Arial" w:cs="Arial"/>
          <w:sz w:val="24"/>
          <w:szCs w:val="24"/>
        </w:rPr>
        <w:t xml:space="preserve"> </w:t>
      </w:r>
      <w:r w:rsidR="00F87AD6" w:rsidRPr="003D069B">
        <w:rPr>
          <w:rFonts w:ascii="Arial" w:hAnsi="Arial" w:cs="Arial"/>
          <w:sz w:val="24"/>
          <w:szCs w:val="24"/>
          <w:vertAlign w:val="superscript"/>
        </w:rPr>
        <w:t>(56)</w:t>
      </w:r>
      <w:r w:rsidR="00F87AD6">
        <w:rPr>
          <w:rFonts w:ascii="Arial" w:hAnsi="Arial" w:cs="Arial"/>
          <w:sz w:val="24"/>
          <w:szCs w:val="24"/>
        </w:rPr>
        <w:t xml:space="preserve"> preconizan el uso protocolizado de dicho cociente debido a que este sufre cambios en los pacientes expuestos a IRA.</w:t>
      </w:r>
    </w:p>
    <w:p w:rsidR="001871ED" w:rsidRDefault="001871ED" w:rsidP="00F824CC">
      <w:pPr>
        <w:spacing w:line="360" w:lineRule="auto"/>
        <w:jc w:val="both"/>
        <w:rPr>
          <w:rFonts w:ascii="Arial" w:hAnsi="Arial" w:cs="Arial"/>
          <w:sz w:val="24"/>
          <w:szCs w:val="24"/>
        </w:rPr>
      </w:pPr>
      <w:r>
        <w:rPr>
          <w:rFonts w:ascii="Arial" w:hAnsi="Arial" w:cs="Arial"/>
          <w:sz w:val="24"/>
          <w:szCs w:val="24"/>
        </w:rPr>
        <w:t>El presente estudio constituye el primer reporte que valida el cociente urea/creatinina como predictor de mortalidad hospitalaria en pacientes con injuria renal aguda prer</w:t>
      </w:r>
      <w:r w:rsidR="00BD403F">
        <w:rPr>
          <w:rFonts w:ascii="Arial" w:hAnsi="Arial" w:cs="Arial"/>
          <w:sz w:val="24"/>
          <w:szCs w:val="24"/>
        </w:rPr>
        <w:t>r</w:t>
      </w:r>
      <w:r>
        <w:rPr>
          <w:rFonts w:ascii="Arial" w:hAnsi="Arial" w:cs="Arial"/>
          <w:sz w:val="24"/>
          <w:szCs w:val="24"/>
        </w:rPr>
        <w:t>enal en pacientes de nuestra provincia, mostrando excelentes resultados que permite estratificar el riesgo existente y tomar medidas que disminuyan la incidencia de mortalidad a corto plazo de los pacientes con IRA prerenal.</w:t>
      </w:r>
    </w:p>
    <w:p w:rsidR="00732B55" w:rsidRDefault="00732B55" w:rsidP="00732B55">
      <w:pPr>
        <w:spacing w:line="360" w:lineRule="auto"/>
        <w:jc w:val="both"/>
        <w:rPr>
          <w:rFonts w:ascii="Arial" w:hAnsi="Arial" w:cs="Arial"/>
          <w:sz w:val="24"/>
          <w:szCs w:val="24"/>
        </w:rPr>
      </w:pPr>
      <w:r w:rsidRPr="00732B55">
        <w:rPr>
          <w:rFonts w:ascii="Arial" w:hAnsi="Arial" w:cs="Arial"/>
          <w:b/>
          <w:sz w:val="24"/>
          <w:szCs w:val="24"/>
        </w:rPr>
        <w:t xml:space="preserve">Se corrobora la hipótesis: </w:t>
      </w:r>
      <w:r>
        <w:rPr>
          <w:rFonts w:ascii="Arial" w:hAnsi="Arial" w:cs="Arial"/>
          <w:sz w:val="24"/>
          <w:szCs w:val="24"/>
        </w:rPr>
        <w:t xml:space="preserve">El cociente urea/creatinina es un buen predictor de mortalidad a corto plazo en los pacientes con </w:t>
      </w:r>
      <w:r w:rsidR="005E0E49">
        <w:rPr>
          <w:rFonts w:ascii="Arial" w:hAnsi="Arial" w:cs="Arial"/>
          <w:sz w:val="24"/>
          <w:szCs w:val="24"/>
        </w:rPr>
        <w:t>lesión</w:t>
      </w:r>
      <w:r>
        <w:rPr>
          <w:rFonts w:ascii="Arial" w:hAnsi="Arial" w:cs="Arial"/>
          <w:sz w:val="24"/>
          <w:szCs w:val="24"/>
        </w:rPr>
        <w:t xml:space="preserve"> renal aguda prer</w:t>
      </w:r>
      <w:r w:rsidR="00BD403F">
        <w:rPr>
          <w:rFonts w:ascii="Arial" w:hAnsi="Arial" w:cs="Arial"/>
          <w:sz w:val="24"/>
          <w:szCs w:val="24"/>
        </w:rPr>
        <w:t>r</w:t>
      </w:r>
      <w:r>
        <w:rPr>
          <w:rFonts w:ascii="Arial" w:hAnsi="Arial" w:cs="Arial"/>
          <w:sz w:val="24"/>
          <w:szCs w:val="24"/>
        </w:rPr>
        <w:t>enal.</w:t>
      </w:r>
    </w:p>
    <w:p w:rsidR="00374347" w:rsidRDefault="00374347" w:rsidP="00732B55">
      <w:pPr>
        <w:spacing w:line="360" w:lineRule="auto"/>
        <w:jc w:val="center"/>
        <w:rPr>
          <w:rFonts w:ascii="Arial" w:hAnsi="Arial" w:cs="Arial"/>
          <w:b/>
          <w:sz w:val="24"/>
          <w:szCs w:val="24"/>
        </w:rPr>
      </w:pPr>
    </w:p>
    <w:p w:rsidR="00AE3B3B" w:rsidRDefault="00AE3B3B" w:rsidP="00732B55">
      <w:pPr>
        <w:spacing w:line="360" w:lineRule="auto"/>
        <w:jc w:val="center"/>
        <w:rPr>
          <w:rFonts w:ascii="Arial" w:hAnsi="Arial" w:cs="Arial"/>
          <w:b/>
          <w:sz w:val="24"/>
          <w:szCs w:val="24"/>
        </w:rPr>
      </w:pPr>
    </w:p>
    <w:p w:rsidR="00AE3B3B" w:rsidRDefault="00AE3B3B" w:rsidP="00732B55">
      <w:pPr>
        <w:spacing w:line="360" w:lineRule="auto"/>
        <w:jc w:val="center"/>
        <w:rPr>
          <w:rFonts w:ascii="Arial" w:hAnsi="Arial" w:cs="Arial"/>
          <w:b/>
          <w:sz w:val="24"/>
          <w:szCs w:val="24"/>
        </w:rPr>
      </w:pPr>
    </w:p>
    <w:p w:rsidR="00AE3B3B" w:rsidRDefault="00AE3B3B" w:rsidP="00732B55">
      <w:pPr>
        <w:spacing w:line="360" w:lineRule="auto"/>
        <w:jc w:val="center"/>
        <w:rPr>
          <w:rFonts w:ascii="Arial" w:hAnsi="Arial" w:cs="Arial"/>
          <w:b/>
          <w:sz w:val="24"/>
          <w:szCs w:val="24"/>
        </w:rPr>
      </w:pPr>
    </w:p>
    <w:p w:rsidR="00AE3B3B" w:rsidRDefault="00AE3B3B" w:rsidP="00732B55">
      <w:pPr>
        <w:spacing w:line="360" w:lineRule="auto"/>
        <w:jc w:val="center"/>
        <w:rPr>
          <w:rFonts w:ascii="Arial" w:hAnsi="Arial" w:cs="Arial"/>
          <w:b/>
          <w:sz w:val="24"/>
          <w:szCs w:val="24"/>
        </w:rPr>
      </w:pPr>
    </w:p>
    <w:p w:rsidR="00732B55" w:rsidRDefault="00732B55" w:rsidP="00732B55">
      <w:pPr>
        <w:spacing w:line="360" w:lineRule="auto"/>
        <w:jc w:val="center"/>
        <w:rPr>
          <w:rFonts w:ascii="Arial" w:hAnsi="Arial" w:cs="Arial"/>
          <w:b/>
          <w:sz w:val="24"/>
          <w:szCs w:val="24"/>
        </w:rPr>
      </w:pPr>
      <w:r w:rsidRPr="00732B55">
        <w:rPr>
          <w:rFonts w:ascii="Arial" w:hAnsi="Arial" w:cs="Arial"/>
          <w:b/>
          <w:sz w:val="24"/>
          <w:szCs w:val="24"/>
        </w:rPr>
        <w:lastRenderedPageBreak/>
        <w:t>CONCLUSIONES</w:t>
      </w:r>
    </w:p>
    <w:p w:rsidR="00732B55" w:rsidRDefault="00D35E98" w:rsidP="00732B55">
      <w:pPr>
        <w:spacing w:line="360" w:lineRule="auto"/>
        <w:jc w:val="both"/>
        <w:rPr>
          <w:rFonts w:ascii="Arial" w:hAnsi="Arial" w:cs="Arial"/>
          <w:sz w:val="24"/>
          <w:szCs w:val="24"/>
        </w:rPr>
      </w:pPr>
      <w:r>
        <w:rPr>
          <w:rFonts w:ascii="Arial" w:hAnsi="Arial" w:cs="Arial"/>
          <w:sz w:val="24"/>
          <w:szCs w:val="24"/>
        </w:rPr>
        <w:t xml:space="preserve">El presente estudio demostró que el cociente urea/creatinina es un importante predictor independiente de mortalidad a corto plazo en pacientes con </w:t>
      </w:r>
      <w:r w:rsidR="005E0E49">
        <w:rPr>
          <w:rFonts w:ascii="Arial" w:hAnsi="Arial" w:cs="Arial"/>
          <w:sz w:val="24"/>
          <w:szCs w:val="24"/>
        </w:rPr>
        <w:t>lesión</w:t>
      </w:r>
      <w:r>
        <w:rPr>
          <w:rFonts w:ascii="Arial" w:hAnsi="Arial" w:cs="Arial"/>
          <w:sz w:val="24"/>
          <w:szCs w:val="24"/>
        </w:rPr>
        <w:t xml:space="preserve"> renal aguda prer</w:t>
      </w:r>
      <w:r w:rsidR="009349DE">
        <w:rPr>
          <w:rFonts w:ascii="Arial" w:hAnsi="Arial" w:cs="Arial"/>
          <w:sz w:val="24"/>
          <w:szCs w:val="24"/>
        </w:rPr>
        <w:t>r</w:t>
      </w:r>
      <w:r>
        <w:rPr>
          <w:rFonts w:ascii="Arial" w:hAnsi="Arial" w:cs="Arial"/>
          <w:sz w:val="24"/>
          <w:szCs w:val="24"/>
        </w:rPr>
        <w:t>enal. Constituye una herramienta eficaz para discriminar a los pacientes con mayor riesgo de mortalidad.</w:t>
      </w:r>
      <w:r w:rsidR="00F30B64">
        <w:rPr>
          <w:rFonts w:ascii="Arial" w:hAnsi="Arial" w:cs="Arial"/>
          <w:sz w:val="24"/>
          <w:szCs w:val="24"/>
        </w:rPr>
        <w:t xml:space="preserve"> </w:t>
      </w:r>
    </w:p>
    <w:p w:rsidR="00D35E98" w:rsidRDefault="00D35E98" w:rsidP="00732B55">
      <w:pPr>
        <w:spacing w:line="360" w:lineRule="auto"/>
        <w:jc w:val="both"/>
        <w:rPr>
          <w:rFonts w:ascii="Arial" w:hAnsi="Arial" w:cs="Arial"/>
          <w:sz w:val="24"/>
          <w:szCs w:val="24"/>
        </w:rPr>
      </w:pPr>
    </w:p>
    <w:p w:rsidR="00D35E98" w:rsidRDefault="00D35E98" w:rsidP="00732B55">
      <w:pPr>
        <w:spacing w:line="360" w:lineRule="auto"/>
        <w:jc w:val="both"/>
        <w:rPr>
          <w:rFonts w:ascii="Arial" w:hAnsi="Arial" w:cs="Arial"/>
          <w:sz w:val="24"/>
          <w:szCs w:val="24"/>
        </w:rPr>
      </w:pPr>
    </w:p>
    <w:p w:rsidR="00D35E98" w:rsidRDefault="00D35E98" w:rsidP="00732B55">
      <w:pPr>
        <w:spacing w:line="360" w:lineRule="auto"/>
        <w:jc w:val="both"/>
        <w:rPr>
          <w:rFonts w:ascii="Arial" w:hAnsi="Arial" w:cs="Arial"/>
          <w:sz w:val="24"/>
          <w:szCs w:val="24"/>
        </w:rPr>
      </w:pPr>
    </w:p>
    <w:p w:rsidR="00D35E98" w:rsidRDefault="00D35E98" w:rsidP="00732B55">
      <w:pPr>
        <w:spacing w:line="360" w:lineRule="auto"/>
        <w:jc w:val="both"/>
        <w:rPr>
          <w:rFonts w:ascii="Arial" w:hAnsi="Arial" w:cs="Arial"/>
          <w:sz w:val="24"/>
          <w:szCs w:val="24"/>
        </w:rPr>
      </w:pPr>
    </w:p>
    <w:p w:rsidR="00D35E98" w:rsidRDefault="00D35E98" w:rsidP="00732B55">
      <w:pPr>
        <w:spacing w:line="360" w:lineRule="auto"/>
        <w:jc w:val="both"/>
        <w:rPr>
          <w:rFonts w:ascii="Arial" w:hAnsi="Arial" w:cs="Arial"/>
          <w:sz w:val="24"/>
          <w:szCs w:val="24"/>
        </w:rPr>
      </w:pPr>
    </w:p>
    <w:p w:rsidR="00D35E98" w:rsidRDefault="00D35E98" w:rsidP="00732B55">
      <w:pPr>
        <w:spacing w:line="360" w:lineRule="auto"/>
        <w:jc w:val="both"/>
        <w:rPr>
          <w:rFonts w:ascii="Arial" w:hAnsi="Arial" w:cs="Arial"/>
          <w:sz w:val="24"/>
          <w:szCs w:val="24"/>
        </w:rPr>
      </w:pPr>
    </w:p>
    <w:p w:rsidR="00D35E98" w:rsidRDefault="00D35E98" w:rsidP="00732B55">
      <w:pPr>
        <w:spacing w:line="360" w:lineRule="auto"/>
        <w:jc w:val="both"/>
        <w:rPr>
          <w:rFonts w:ascii="Arial" w:hAnsi="Arial" w:cs="Arial"/>
          <w:sz w:val="24"/>
          <w:szCs w:val="24"/>
        </w:rPr>
      </w:pPr>
    </w:p>
    <w:p w:rsidR="00D35E98" w:rsidRDefault="00D35E98" w:rsidP="00732B55">
      <w:pPr>
        <w:spacing w:line="360" w:lineRule="auto"/>
        <w:jc w:val="both"/>
        <w:rPr>
          <w:rFonts w:ascii="Arial" w:hAnsi="Arial" w:cs="Arial"/>
          <w:sz w:val="24"/>
          <w:szCs w:val="24"/>
        </w:rPr>
      </w:pPr>
    </w:p>
    <w:p w:rsidR="00D35E98" w:rsidRDefault="00D35E98" w:rsidP="00732B55">
      <w:pPr>
        <w:spacing w:line="360" w:lineRule="auto"/>
        <w:jc w:val="both"/>
        <w:rPr>
          <w:rFonts w:ascii="Arial" w:hAnsi="Arial" w:cs="Arial"/>
          <w:sz w:val="24"/>
          <w:szCs w:val="24"/>
        </w:rPr>
      </w:pPr>
    </w:p>
    <w:p w:rsidR="00D35E98" w:rsidRDefault="00D35E98" w:rsidP="00732B55">
      <w:pPr>
        <w:spacing w:line="360" w:lineRule="auto"/>
        <w:jc w:val="both"/>
        <w:rPr>
          <w:rFonts w:ascii="Arial" w:hAnsi="Arial" w:cs="Arial"/>
          <w:sz w:val="24"/>
          <w:szCs w:val="24"/>
        </w:rPr>
      </w:pPr>
    </w:p>
    <w:p w:rsidR="00D35E98" w:rsidRDefault="00D35E98" w:rsidP="00732B55">
      <w:pPr>
        <w:spacing w:line="360" w:lineRule="auto"/>
        <w:jc w:val="both"/>
        <w:rPr>
          <w:rFonts w:ascii="Arial" w:hAnsi="Arial" w:cs="Arial"/>
          <w:sz w:val="24"/>
          <w:szCs w:val="24"/>
        </w:rPr>
      </w:pPr>
    </w:p>
    <w:p w:rsidR="00D35E98" w:rsidRDefault="00D35E98" w:rsidP="00732B55">
      <w:pPr>
        <w:spacing w:line="360" w:lineRule="auto"/>
        <w:jc w:val="both"/>
        <w:rPr>
          <w:rFonts w:ascii="Arial" w:hAnsi="Arial" w:cs="Arial"/>
          <w:sz w:val="24"/>
          <w:szCs w:val="24"/>
        </w:rPr>
      </w:pPr>
    </w:p>
    <w:p w:rsidR="00D35E98" w:rsidRDefault="00D35E98" w:rsidP="00732B55">
      <w:pPr>
        <w:spacing w:line="360" w:lineRule="auto"/>
        <w:jc w:val="both"/>
        <w:rPr>
          <w:rFonts w:ascii="Arial" w:hAnsi="Arial" w:cs="Arial"/>
          <w:sz w:val="24"/>
          <w:szCs w:val="24"/>
        </w:rPr>
      </w:pPr>
    </w:p>
    <w:p w:rsidR="00D35E98" w:rsidRDefault="00D35E98" w:rsidP="00732B55">
      <w:pPr>
        <w:spacing w:line="360" w:lineRule="auto"/>
        <w:jc w:val="both"/>
        <w:rPr>
          <w:rFonts w:ascii="Arial" w:hAnsi="Arial" w:cs="Arial"/>
          <w:sz w:val="24"/>
          <w:szCs w:val="24"/>
        </w:rPr>
      </w:pPr>
    </w:p>
    <w:p w:rsidR="00D35E98" w:rsidRDefault="00D35E98" w:rsidP="00732B55">
      <w:pPr>
        <w:spacing w:line="360" w:lineRule="auto"/>
        <w:jc w:val="both"/>
        <w:rPr>
          <w:rFonts w:ascii="Arial" w:hAnsi="Arial" w:cs="Arial"/>
          <w:sz w:val="24"/>
          <w:szCs w:val="24"/>
        </w:rPr>
      </w:pPr>
    </w:p>
    <w:p w:rsidR="00D35E98" w:rsidRDefault="00D35E98" w:rsidP="00732B55">
      <w:pPr>
        <w:spacing w:line="360" w:lineRule="auto"/>
        <w:jc w:val="both"/>
        <w:rPr>
          <w:rFonts w:ascii="Arial" w:hAnsi="Arial" w:cs="Arial"/>
          <w:sz w:val="24"/>
          <w:szCs w:val="24"/>
        </w:rPr>
      </w:pPr>
    </w:p>
    <w:p w:rsidR="00D35E98" w:rsidRDefault="00D35E98" w:rsidP="00732B55">
      <w:pPr>
        <w:spacing w:line="360" w:lineRule="auto"/>
        <w:jc w:val="both"/>
        <w:rPr>
          <w:rFonts w:ascii="Arial" w:hAnsi="Arial" w:cs="Arial"/>
          <w:sz w:val="24"/>
          <w:szCs w:val="24"/>
        </w:rPr>
      </w:pPr>
    </w:p>
    <w:p w:rsidR="00D35E98" w:rsidRDefault="00C9698F" w:rsidP="00D35E98">
      <w:pPr>
        <w:spacing w:line="360" w:lineRule="auto"/>
        <w:jc w:val="center"/>
        <w:rPr>
          <w:rFonts w:ascii="Arial" w:hAnsi="Arial" w:cs="Arial"/>
          <w:b/>
          <w:sz w:val="24"/>
          <w:szCs w:val="24"/>
        </w:rPr>
      </w:pPr>
      <w:r>
        <w:rPr>
          <w:rFonts w:ascii="Arial" w:hAnsi="Arial" w:cs="Arial"/>
          <w:b/>
          <w:sz w:val="24"/>
          <w:szCs w:val="24"/>
        </w:rPr>
        <w:lastRenderedPageBreak/>
        <w:t>REFERENCIAS BIBLIOGRÁFICAS</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r w:rsidRPr="003D069B">
        <w:rPr>
          <w:rFonts w:ascii="Arial" w:hAnsi="Arial" w:cs="Arial"/>
          <w:sz w:val="24"/>
          <w:szCs w:val="24"/>
        </w:rPr>
        <w:t xml:space="preserve">Fernández-Juárez G, Parejo L, Villacorta J, Tato A, Cazar R, Gallego E, et al. </w:t>
      </w:r>
      <w:r w:rsidRPr="003D069B">
        <w:rPr>
          <w:rFonts w:ascii="Arial" w:hAnsi="Arial" w:cs="Arial"/>
          <w:sz w:val="24"/>
          <w:szCs w:val="24"/>
          <w:lang w:val="en-US"/>
        </w:rPr>
        <w:t>Kidney injury after sodium phosphate solution beyond the acute renal failure. (English). Nefrologia [serial on the Internet]. 20</w:t>
      </w:r>
      <w:r w:rsidR="000E5F31">
        <w:rPr>
          <w:rFonts w:ascii="Arial" w:hAnsi="Arial" w:cs="Arial"/>
          <w:sz w:val="24"/>
          <w:szCs w:val="24"/>
          <w:lang w:val="en-US"/>
        </w:rPr>
        <w:t>22</w:t>
      </w:r>
      <w:r w:rsidRPr="003D069B">
        <w:rPr>
          <w:rFonts w:ascii="Arial" w:hAnsi="Arial" w:cs="Arial"/>
          <w:sz w:val="24"/>
          <w:szCs w:val="24"/>
          <w:lang w:val="en-US"/>
        </w:rPr>
        <w:t xml:space="preserve">; 36(3): 243-248. Available from: </w:t>
      </w:r>
      <w:proofErr w:type="spellStart"/>
      <w:r w:rsidRPr="003D069B">
        <w:rPr>
          <w:rFonts w:ascii="Arial" w:hAnsi="Arial" w:cs="Arial"/>
          <w:sz w:val="24"/>
          <w:szCs w:val="24"/>
          <w:lang w:val="en-US"/>
        </w:rPr>
        <w:t>MedicLatina</w:t>
      </w:r>
      <w:proofErr w:type="spellEnd"/>
      <w:r w:rsidRPr="003D069B">
        <w:rPr>
          <w:rFonts w:ascii="Arial" w:hAnsi="Arial" w:cs="Arial"/>
          <w:sz w:val="24"/>
          <w:szCs w:val="24"/>
          <w:lang w:val="en-US"/>
        </w:rPr>
        <w:t>.</w:t>
      </w:r>
    </w:p>
    <w:p w:rsidR="00855543" w:rsidRPr="003D069B" w:rsidRDefault="005F3CF8" w:rsidP="00855543">
      <w:pPr>
        <w:pStyle w:val="Prrafodelista"/>
        <w:numPr>
          <w:ilvl w:val="0"/>
          <w:numId w:val="10"/>
        </w:numPr>
        <w:spacing w:after="160" w:line="360" w:lineRule="auto"/>
        <w:ind w:left="284" w:hanging="284"/>
        <w:jc w:val="both"/>
        <w:rPr>
          <w:rFonts w:ascii="Arial" w:hAnsi="Arial" w:cs="Arial"/>
          <w:sz w:val="24"/>
          <w:szCs w:val="24"/>
        </w:rPr>
      </w:pPr>
      <w:proofErr w:type="spellStart"/>
      <w:r w:rsidRPr="003D069B">
        <w:rPr>
          <w:rFonts w:ascii="Arial" w:hAnsi="Arial" w:cs="Arial"/>
          <w:sz w:val="24"/>
          <w:szCs w:val="24"/>
        </w:rPr>
        <w:t>Milián</w:t>
      </w:r>
      <w:proofErr w:type="spellEnd"/>
      <w:r w:rsidRPr="003D069B">
        <w:rPr>
          <w:rFonts w:ascii="Arial" w:hAnsi="Arial" w:cs="Arial"/>
          <w:sz w:val="24"/>
          <w:szCs w:val="24"/>
        </w:rPr>
        <w:t>-</w:t>
      </w:r>
      <w:r w:rsidR="00855543" w:rsidRPr="003D069B">
        <w:rPr>
          <w:rFonts w:ascii="Arial" w:hAnsi="Arial" w:cs="Arial"/>
          <w:sz w:val="24"/>
          <w:szCs w:val="24"/>
        </w:rPr>
        <w:t xml:space="preserve">Figueroa </w:t>
      </w:r>
      <w:r w:rsidRPr="003D069B">
        <w:rPr>
          <w:rFonts w:ascii="Arial" w:hAnsi="Arial" w:cs="Arial"/>
          <w:sz w:val="24"/>
          <w:szCs w:val="24"/>
        </w:rPr>
        <w:t xml:space="preserve">IN, </w:t>
      </w:r>
      <w:proofErr w:type="spellStart"/>
      <w:r w:rsidRPr="003D069B">
        <w:rPr>
          <w:rFonts w:ascii="Arial" w:hAnsi="Arial" w:cs="Arial"/>
          <w:sz w:val="24"/>
          <w:szCs w:val="24"/>
        </w:rPr>
        <w:t>Malpica</w:t>
      </w:r>
      <w:proofErr w:type="spellEnd"/>
      <w:r w:rsidRPr="003D069B">
        <w:rPr>
          <w:rFonts w:ascii="Arial" w:hAnsi="Arial" w:cs="Arial"/>
          <w:sz w:val="24"/>
          <w:szCs w:val="24"/>
        </w:rPr>
        <w:t>-</w:t>
      </w:r>
      <w:r w:rsidR="00855543" w:rsidRPr="003D069B">
        <w:rPr>
          <w:rFonts w:ascii="Arial" w:hAnsi="Arial" w:cs="Arial"/>
          <w:sz w:val="24"/>
          <w:szCs w:val="24"/>
        </w:rPr>
        <w:t xml:space="preserve">Alonso E, </w:t>
      </w:r>
      <w:r w:rsidRPr="003D069B">
        <w:rPr>
          <w:rFonts w:ascii="Arial" w:hAnsi="Arial" w:cs="Arial"/>
          <w:sz w:val="24"/>
          <w:szCs w:val="24"/>
        </w:rPr>
        <w:t>Catalá-</w:t>
      </w:r>
      <w:r w:rsidR="00855543" w:rsidRPr="003D069B">
        <w:rPr>
          <w:rFonts w:ascii="Arial" w:hAnsi="Arial" w:cs="Arial"/>
          <w:sz w:val="24"/>
          <w:szCs w:val="24"/>
        </w:rPr>
        <w:t xml:space="preserve">Rivero </w:t>
      </w:r>
      <w:r w:rsidRPr="003D069B">
        <w:rPr>
          <w:rFonts w:ascii="Arial" w:hAnsi="Arial" w:cs="Arial"/>
          <w:sz w:val="24"/>
          <w:szCs w:val="24"/>
        </w:rPr>
        <w:t>I, de la Vega-</w:t>
      </w:r>
      <w:proofErr w:type="spellStart"/>
      <w:r w:rsidR="00855543" w:rsidRPr="003D069B">
        <w:rPr>
          <w:rFonts w:ascii="Arial" w:hAnsi="Arial" w:cs="Arial"/>
          <w:sz w:val="24"/>
          <w:szCs w:val="24"/>
        </w:rPr>
        <w:t>Cums</w:t>
      </w:r>
      <w:proofErr w:type="spellEnd"/>
      <w:r w:rsidR="00855543" w:rsidRPr="003D069B">
        <w:rPr>
          <w:rFonts w:ascii="Arial" w:hAnsi="Arial" w:cs="Arial"/>
          <w:sz w:val="24"/>
          <w:szCs w:val="24"/>
        </w:rPr>
        <w:t xml:space="preserve"> C. Insuficiencia renal aguda en ancianos atendidos en cuidados intensivos del Hospital Territorial Docente Julio M. Arístegui Villamil. Cárdenas. 2006-2011. Rev. </w:t>
      </w:r>
      <w:proofErr w:type="spellStart"/>
      <w:r w:rsidR="00855543" w:rsidRPr="003D069B">
        <w:rPr>
          <w:rFonts w:ascii="Arial" w:hAnsi="Arial" w:cs="Arial"/>
          <w:sz w:val="24"/>
          <w:szCs w:val="24"/>
        </w:rPr>
        <w:t>Med</w:t>
      </w:r>
      <w:proofErr w:type="spellEnd"/>
      <w:r w:rsidR="00855543" w:rsidRPr="003D069B">
        <w:rPr>
          <w:rFonts w:ascii="Arial" w:hAnsi="Arial" w:cs="Arial"/>
          <w:sz w:val="24"/>
          <w:szCs w:val="24"/>
        </w:rPr>
        <w:t>. Electrón.  [Internet]. 201</w:t>
      </w:r>
      <w:r w:rsidR="00AD5AA8">
        <w:rPr>
          <w:rFonts w:ascii="Arial" w:hAnsi="Arial" w:cs="Arial"/>
          <w:sz w:val="24"/>
          <w:szCs w:val="24"/>
        </w:rPr>
        <w:t>7</w:t>
      </w:r>
      <w:r w:rsidR="00855543" w:rsidRPr="003D069B">
        <w:rPr>
          <w:rFonts w:ascii="Arial" w:hAnsi="Arial" w:cs="Arial"/>
          <w:sz w:val="24"/>
          <w:szCs w:val="24"/>
        </w:rPr>
        <w:t xml:space="preserve">  </w:t>
      </w:r>
      <w:proofErr w:type="spellStart"/>
      <w:r w:rsidR="00855543" w:rsidRPr="003D069B">
        <w:rPr>
          <w:rFonts w:ascii="Arial" w:hAnsi="Arial" w:cs="Arial"/>
          <w:sz w:val="24"/>
          <w:szCs w:val="24"/>
        </w:rPr>
        <w:t>Abr</w:t>
      </w:r>
      <w:proofErr w:type="spellEnd"/>
      <w:r w:rsidR="00855543" w:rsidRPr="003D069B">
        <w:rPr>
          <w:rFonts w:ascii="Arial" w:hAnsi="Arial" w:cs="Arial"/>
          <w:sz w:val="24"/>
          <w:szCs w:val="24"/>
        </w:rPr>
        <w:t xml:space="preserve">;  34(2): 131-141. Disponible en: </w:t>
      </w:r>
      <w:hyperlink r:id="rId26" w:history="1">
        <w:r w:rsidR="00855543" w:rsidRPr="003D069B">
          <w:rPr>
            <w:rStyle w:val="Hipervnculo"/>
            <w:rFonts w:ascii="Arial" w:hAnsi="Arial" w:cs="Arial"/>
            <w:color w:val="auto"/>
            <w:sz w:val="24"/>
            <w:szCs w:val="24"/>
          </w:rPr>
          <w:t>http://scieloprueba.sld.cu/scielo.php?script=sci_arttext&amp;pid=S1684-18242012000200003&amp;lng=es</w:t>
        </w:r>
      </w:hyperlink>
      <w:r w:rsidR="00855543" w:rsidRPr="003D069B">
        <w:rPr>
          <w:rFonts w:ascii="Arial" w:hAnsi="Arial" w:cs="Arial"/>
          <w:sz w:val="24"/>
          <w:szCs w:val="24"/>
        </w:rPr>
        <w:t>.</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r w:rsidRPr="003D069B">
        <w:rPr>
          <w:rFonts w:ascii="Arial" w:hAnsi="Arial" w:cs="Arial"/>
          <w:sz w:val="24"/>
          <w:szCs w:val="24"/>
          <w:lang w:val="en-US"/>
        </w:rPr>
        <w:t xml:space="preserve">Kumar S, Taylor D. Pharmacologic strategies to preserve renal function in acute </w:t>
      </w:r>
      <w:proofErr w:type="spellStart"/>
      <w:r w:rsidRPr="003D069B">
        <w:rPr>
          <w:rFonts w:ascii="Arial" w:hAnsi="Arial" w:cs="Arial"/>
          <w:sz w:val="24"/>
          <w:szCs w:val="24"/>
          <w:lang w:val="en-US"/>
        </w:rPr>
        <w:t>decompensated</w:t>
      </w:r>
      <w:proofErr w:type="spellEnd"/>
      <w:r w:rsidRPr="003D069B">
        <w:rPr>
          <w:rFonts w:ascii="Arial" w:hAnsi="Arial" w:cs="Arial"/>
          <w:sz w:val="24"/>
          <w:szCs w:val="24"/>
          <w:lang w:val="en-US"/>
        </w:rPr>
        <w:t xml:space="preserve"> heart failure. Current Heart Failure Reports [serial on the Internet]. 20</w:t>
      </w:r>
      <w:r w:rsidR="000E5F31">
        <w:rPr>
          <w:rFonts w:ascii="Arial" w:hAnsi="Arial" w:cs="Arial"/>
          <w:sz w:val="24"/>
          <w:szCs w:val="24"/>
          <w:lang w:val="en-US"/>
        </w:rPr>
        <w:t>21, Feb</w:t>
      </w:r>
      <w:r w:rsidRPr="003D069B">
        <w:rPr>
          <w:rFonts w:ascii="Arial" w:hAnsi="Arial" w:cs="Arial"/>
          <w:sz w:val="24"/>
          <w:szCs w:val="24"/>
          <w:lang w:val="en-US"/>
        </w:rPr>
        <w:t>; 12(1): 1-6. Available from: MEDLINE Complete.</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 xml:space="preserve">Sánchez JA, </w:t>
      </w:r>
      <w:proofErr w:type="spellStart"/>
      <w:r w:rsidRPr="003D069B">
        <w:rPr>
          <w:rFonts w:ascii="Arial" w:hAnsi="Arial" w:cs="Arial"/>
          <w:sz w:val="24"/>
          <w:szCs w:val="24"/>
        </w:rPr>
        <w:t>Tomero</w:t>
      </w:r>
      <w:proofErr w:type="spellEnd"/>
      <w:r w:rsidRPr="003D069B">
        <w:rPr>
          <w:rFonts w:ascii="Arial" w:hAnsi="Arial" w:cs="Arial"/>
          <w:sz w:val="24"/>
          <w:szCs w:val="24"/>
        </w:rPr>
        <w:t xml:space="preserve"> R, López F, </w:t>
      </w:r>
      <w:proofErr w:type="spellStart"/>
      <w:r w:rsidRPr="003D069B">
        <w:rPr>
          <w:rFonts w:ascii="Arial" w:hAnsi="Arial" w:cs="Arial"/>
          <w:sz w:val="24"/>
          <w:szCs w:val="24"/>
        </w:rPr>
        <w:t>Gruss</w:t>
      </w:r>
      <w:proofErr w:type="spellEnd"/>
      <w:r w:rsidRPr="003D069B">
        <w:rPr>
          <w:rFonts w:ascii="Arial" w:hAnsi="Arial" w:cs="Arial"/>
          <w:sz w:val="24"/>
          <w:szCs w:val="24"/>
        </w:rPr>
        <w:t xml:space="preserve"> J. Sepsis y fracaso renal agudo. </w:t>
      </w:r>
      <w:r w:rsidRPr="003D069B">
        <w:rPr>
          <w:rFonts w:ascii="Arial" w:hAnsi="Arial" w:cs="Arial"/>
          <w:sz w:val="24"/>
          <w:szCs w:val="24"/>
          <w:lang w:val="es-AR"/>
        </w:rPr>
        <w:t>Nefrología Argentina 201</w:t>
      </w:r>
      <w:r w:rsidR="00AD5AA8">
        <w:rPr>
          <w:rFonts w:ascii="Arial" w:hAnsi="Arial" w:cs="Arial"/>
          <w:sz w:val="24"/>
          <w:szCs w:val="24"/>
          <w:lang w:val="es-AR"/>
        </w:rPr>
        <w:t>9</w:t>
      </w:r>
      <w:r w:rsidRPr="003D069B">
        <w:rPr>
          <w:rFonts w:ascii="Arial" w:hAnsi="Arial" w:cs="Arial"/>
          <w:sz w:val="24"/>
          <w:szCs w:val="24"/>
          <w:lang w:val="es-AR"/>
        </w:rPr>
        <w:t>;13(2):93-96</w:t>
      </w:r>
      <w:r w:rsidRPr="003D069B">
        <w:rPr>
          <w:rFonts w:ascii="Arial" w:hAnsi="Arial" w:cs="Arial"/>
          <w:sz w:val="24"/>
          <w:szCs w:val="24"/>
          <w:lang w:val="es-ES_tradnl"/>
        </w:rPr>
        <w:t xml:space="preserve"> </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r w:rsidRPr="003D069B">
        <w:rPr>
          <w:rFonts w:ascii="Arial" w:hAnsi="Arial" w:cs="Arial"/>
          <w:sz w:val="24"/>
          <w:szCs w:val="24"/>
          <w:lang w:val="en-US"/>
        </w:rPr>
        <w:t>Khan F, Ahmed E. Acute renal failure in diabetes mellitus. JPMA. The Journal of The Pakistan Medical Association [ser</w:t>
      </w:r>
      <w:r w:rsidR="000E5F31">
        <w:rPr>
          <w:rFonts w:ascii="Arial" w:hAnsi="Arial" w:cs="Arial"/>
          <w:sz w:val="24"/>
          <w:szCs w:val="24"/>
          <w:lang w:val="en-US"/>
        </w:rPr>
        <w:t>ial on the Internet]. 2022, Feb</w:t>
      </w:r>
      <w:r w:rsidRPr="003D069B">
        <w:rPr>
          <w:rFonts w:ascii="Arial" w:hAnsi="Arial" w:cs="Arial"/>
          <w:sz w:val="24"/>
          <w:szCs w:val="24"/>
          <w:lang w:val="en-US"/>
        </w:rPr>
        <w:t>; 65(2): 179-182. Available from: MEDLINE Complete.</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r w:rsidRPr="003D069B">
        <w:rPr>
          <w:rFonts w:ascii="Arial" w:hAnsi="Arial" w:cs="Arial"/>
          <w:sz w:val="24"/>
          <w:szCs w:val="24"/>
          <w:lang w:val="en-US"/>
        </w:rPr>
        <w:t xml:space="preserve">Gupta A, </w:t>
      </w:r>
      <w:proofErr w:type="spellStart"/>
      <w:r w:rsidRPr="003D069B">
        <w:rPr>
          <w:rFonts w:ascii="Arial" w:hAnsi="Arial" w:cs="Arial"/>
          <w:sz w:val="24"/>
          <w:szCs w:val="24"/>
          <w:lang w:val="en-US"/>
        </w:rPr>
        <w:t>Karnik</w:t>
      </w:r>
      <w:proofErr w:type="spellEnd"/>
      <w:r w:rsidRPr="003D069B">
        <w:rPr>
          <w:rFonts w:ascii="Arial" w:hAnsi="Arial" w:cs="Arial"/>
          <w:sz w:val="24"/>
          <w:szCs w:val="24"/>
          <w:lang w:val="en-US"/>
        </w:rPr>
        <w:t xml:space="preserve"> N, Gupta V, </w:t>
      </w:r>
      <w:proofErr w:type="spellStart"/>
      <w:r w:rsidRPr="003D069B">
        <w:rPr>
          <w:rFonts w:ascii="Arial" w:hAnsi="Arial" w:cs="Arial"/>
          <w:sz w:val="24"/>
          <w:szCs w:val="24"/>
          <w:lang w:val="en-US"/>
        </w:rPr>
        <w:t>Hase</w:t>
      </w:r>
      <w:proofErr w:type="spellEnd"/>
      <w:r w:rsidRPr="003D069B">
        <w:rPr>
          <w:rFonts w:ascii="Arial" w:hAnsi="Arial" w:cs="Arial"/>
          <w:sz w:val="24"/>
          <w:szCs w:val="24"/>
          <w:lang w:val="en-US"/>
        </w:rPr>
        <w:t xml:space="preserve"> N. Fish gall bladder consumption presenting as acute renal failure. Journal </w:t>
      </w:r>
      <w:proofErr w:type="gramStart"/>
      <w:r w:rsidRPr="003D069B">
        <w:rPr>
          <w:rFonts w:ascii="Arial" w:hAnsi="Arial" w:cs="Arial"/>
          <w:sz w:val="24"/>
          <w:szCs w:val="24"/>
          <w:lang w:val="en-US"/>
        </w:rPr>
        <w:t>Of</w:t>
      </w:r>
      <w:proofErr w:type="gramEnd"/>
      <w:r w:rsidRPr="003D069B">
        <w:rPr>
          <w:rFonts w:ascii="Arial" w:hAnsi="Arial" w:cs="Arial"/>
          <w:sz w:val="24"/>
          <w:szCs w:val="24"/>
          <w:lang w:val="en-US"/>
        </w:rPr>
        <w:t xml:space="preserve"> Postgraduate Medicine [ser</w:t>
      </w:r>
      <w:r w:rsidR="000E5F31">
        <w:rPr>
          <w:rFonts w:ascii="Arial" w:hAnsi="Arial" w:cs="Arial"/>
          <w:sz w:val="24"/>
          <w:szCs w:val="24"/>
          <w:lang w:val="en-US"/>
        </w:rPr>
        <w:t>ial on the Internet]. 2015, Oct</w:t>
      </w:r>
      <w:r w:rsidRPr="003D069B">
        <w:rPr>
          <w:rFonts w:ascii="Arial" w:hAnsi="Arial" w:cs="Arial"/>
          <w:sz w:val="24"/>
          <w:szCs w:val="24"/>
          <w:lang w:val="en-US"/>
        </w:rPr>
        <w:t>; 61(4): 264-265. Available from: MEDLINE Complete.</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proofErr w:type="spellStart"/>
      <w:r w:rsidRPr="003D069B">
        <w:rPr>
          <w:rFonts w:ascii="Arial" w:hAnsi="Arial" w:cs="Arial"/>
          <w:sz w:val="24"/>
          <w:szCs w:val="24"/>
          <w:lang w:val="en-US"/>
        </w:rPr>
        <w:t>Pschowski</w:t>
      </w:r>
      <w:proofErr w:type="spellEnd"/>
      <w:r w:rsidRPr="003D069B">
        <w:rPr>
          <w:rFonts w:ascii="Arial" w:hAnsi="Arial" w:cs="Arial"/>
          <w:sz w:val="24"/>
          <w:szCs w:val="24"/>
          <w:lang w:val="en-US"/>
        </w:rPr>
        <w:t xml:space="preserve"> R, </w:t>
      </w:r>
      <w:proofErr w:type="spellStart"/>
      <w:r w:rsidRPr="003D069B">
        <w:rPr>
          <w:rFonts w:ascii="Arial" w:hAnsi="Arial" w:cs="Arial"/>
          <w:sz w:val="24"/>
          <w:szCs w:val="24"/>
          <w:lang w:val="en-US"/>
        </w:rPr>
        <w:t>Briegel</w:t>
      </w:r>
      <w:proofErr w:type="spellEnd"/>
      <w:r w:rsidRPr="003D069B">
        <w:rPr>
          <w:rFonts w:ascii="Arial" w:hAnsi="Arial" w:cs="Arial"/>
          <w:sz w:val="24"/>
          <w:szCs w:val="24"/>
          <w:lang w:val="en-US"/>
        </w:rPr>
        <w:t xml:space="preserve"> S, Von </w:t>
      </w:r>
      <w:proofErr w:type="spellStart"/>
      <w:r w:rsidRPr="003D069B">
        <w:rPr>
          <w:rFonts w:ascii="Arial" w:hAnsi="Arial" w:cs="Arial"/>
          <w:sz w:val="24"/>
          <w:szCs w:val="24"/>
          <w:lang w:val="en-US"/>
        </w:rPr>
        <w:t>Haehling</w:t>
      </w:r>
      <w:proofErr w:type="spellEnd"/>
      <w:r w:rsidRPr="003D069B">
        <w:rPr>
          <w:rFonts w:ascii="Arial" w:hAnsi="Arial" w:cs="Arial"/>
          <w:sz w:val="24"/>
          <w:szCs w:val="24"/>
          <w:lang w:val="en-US"/>
        </w:rPr>
        <w:t xml:space="preserve"> S, </w:t>
      </w:r>
      <w:proofErr w:type="spellStart"/>
      <w:r w:rsidRPr="003D069B">
        <w:rPr>
          <w:rFonts w:ascii="Arial" w:hAnsi="Arial" w:cs="Arial"/>
          <w:sz w:val="24"/>
          <w:szCs w:val="24"/>
          <w:lang w:val="en-US"/>
        </w:rPr>
        <w:t>Doehner</w:t>
      </w:r>
      <w:proofErr w:type="spellEnd"/>
      <w:r w:rsidRPr="003D069B">
        <w:rPr>
          <w:rFonts w:ascii="Arial" w:hAnsi="Arial" w:cs="Arial"/>
          <w:sz w:val="24"/>
          <w:szCs w:val="24"/>
          <w:lang w:val="en-US"/>
        </w:rPr>
        <w:t xml:space="preserve"> W, Bender T, </w:t>
      </w:r>
      <w:proofErr w:type="spellStart"/>
      <w:r w:rsidRPr="003D069B">
        <w:rPr>
          <w:rFonts w:ascii="Arial" w:hAnsi="Arial" w:cs="Arial"/>
          <w:sz w:val="24"/>
          <w:szCs w:val="24"/>
          <w:lang w:val="en-US"/>
        </w:rPr>
        <w:t>Schefold</w:t>
      </w:r>
      <w:proofErr w:type="spellEnd"/>
      <w:r w:rsidRPr="003D069B">
        <w:rPr>
          <w:rFonts w:ascii="Arial" w:hAnsi="Arial" w:cs="Arial"/>
          <w:sz w:val="24"/>
          <w:szCs w:val="24"/>
          <w:lang w:val="en-US"/>
        </w:rPr>
        <w:t xml:space="preserve"> J, et al. Effects of dialysis modality on blood loss, bleeding complications and transfusion requirements in critically ill patients with dialysis-dependent acute renal failure. </w:t>
      </w:r>
      <w:proofErr w:type="spellStart"/>
      <w:r w:rsidRPr="003D069B">
        <w:rPr>
          <w:rFonts w:ascii="Arial" w:hAnsi="Arial" w:cs="Arial"/>
          <w:sz w:val="24"/>
          <w:szCs w:val="24"/>
          <w:lang w:val="en-US"/>
        </w:rPr>
        <w:t>AnaesthesiaAnd</w:t>
      </w:r>
      <w:proofErr w:type="spellEnd"/>
      <w:r w:rsidRPr="003D069B">
        <w:rPr>
          <w:rFonts w:ascii="Arial" w:hAnsi="Arial" w:cs="Arial"/>
          <w:sz w:val="24"/>
          <w:szCs w:val="24"/>
          <w:lang w:val="en-US"/>
        </w:rPr>
        <w:t xml:space="preserve"> Intensive Care [serial on the Internet]. 20</w:t>
      </w:r>
      <w:r w:rsidR="00AD5AA8">
        <w:rPr>
          <w:rFonts w:ascii="Arial" w:hAnsi="Arial" w:cs="Arial"/>
          <w:sz w:val="24"/>
          <w:szCs w:val="24"/>
          <w:lang w:val="en-US"/>
        </w:rPr>
        <w:t>20</w:t>
      </w:r>
      <w:r w:rsidR="000E5F31">
        <w:rPr>
          <w:rFonts w:ascii="Arial" w:hAnsi="Arial" w:cs="Arial"/>
          <w:sz w:val="24"/>
          <w:szCs w:val="24"/>
          <w:lang w:val="en-US"/>
        </w:rPr>
        <w:t>, Nov</w:t>
      </w:r>
      <w:r w:rsidRPr="003D069B">
        <w:rPr>
          <w:rFonts w:ascii="Arial" w:hAnsi="Arial" w:cs="Arial"/>
          <w:sz w:val="24"/>
          <w:szCs w:val="24"/>
          <w:lang w:val="en-US"/>
        </w:rPr>
        <w:t>; 43(6): 764-770. Available from: MEDLINE Complete.</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proofErr w:type="spellStart"/>
      <w:r w:rsidRPr="003D069B">
        <w:rPr>
          <w:rFonts w:ascii="Arial" w:hAnsi="Arial" w:cs="Arial"/>
          <w:sz w:val="24"/>
          <w:szCs w:val="24"/>
        </w:rPr>
        <w:t>Lombi</w:t>
      </w:r>
      <w:proofErr w:type="spellEnd"/>
      <w:r w:rsidRPr="003D069B">
        <w:rPr>
          <w:rFonts w:ascii="Arial" w:hAnsi="Arial" w:cs="Arial"/>
          <w:sz w:val="24"/>
          <w:szCs w:val="24"/>
        </w:rPr>
        <w:t xml:space="preserve"> F, Varela C, Martínez R, </w:t>
      </w:r>
      <w:proofErr w:type="spellStart"/>
      <w:r w:rsidRPr="003D069B">
        <w:rPr>
          <w:rFonts w:ascii="Arial" w:hAnsi="Arial" w:cs="Arial"/>
          <w:sz w:val="24"/>
          <w:szCs w:val="24"/>
        </w:rPr>
        <w:t>Greloni</w:t>
      </w:r>
      <w:proofErr w:type="spellEnd"/>
      <w:r w:rsidRPr="003D069B">
        <w:rPr>
          <w:rFonts w:ascii="Arial" w:hAnsi="Arial" w:cs="Arial"/>
          <w:sz w:val="24"/>
          <w:szCs w:val="24"/>
        </w:rPr>
        <w:t xml:space="preserve"> G, </w:t>
      </w:r>
      <w:proofErr w:type="spellStart"/>
      <w:r w:rsidRPr="003D069B">
        <w:rPr>
          <w:rFonts w:ascii="Arial" w:hAnsi="Arial" w:cs="Arial"/>
          <w:sz w:val="24"/>
          <w:szCs w:val="24"/>
        </w:rPr>
        <w:t>Campolo</w:t>
      </w:r>
      <w:proofErr w:type="spellEnd"/>
      <w:r w:rsidRPr="003D069B">
        <w:rPr>
          <w:rFonts w:ascii="Arial" w:hAnsi="Arial" w:cs="Arial"/>
          <w:sz w:val="24"/>
          <w:szCs w:val="24"/>
        </w:rPr>
        <w:t xml:space="preserve"> V, Rosa G. Lesión renal aguda en Latinoamérica en la era del </w:t>
      </w:r>
      <w:proofErr w:type="spellStart"/>
      <w:r w:rsidRPr="003D069B">
        <w:rPr>
          <w:rFonts w:ascii="Arial" w:hAnsi="Arial" w:cs="Arial"/>
          <w:sz w:val="24"/>
          <w:szCs w:val="24"/>
        </w:rPr>
        <w:t>big</w:t>
      </w:r>
      <w:proofErr w:type="spellEnd"/>
      <w:r w:rsidRPr="003D069B">
        <w:rPr>
          <w:rFonts w:ascii="Arial" w:hAnsi="Arial" w:cs="Arial"/>
          <w:sz w:val="24"/>
          <w:szCs w:val="24"/>
        </w:rPr>
        <w:t xml:space="preserve"> data. </w:t>
      </w:r>
      <w:proofErr w:type="spellStart"/>
      <w:r w:rsidRPr="003D069B">
        <w:rPr>
          <w:rFonts w:ascii="Arial" w:hAnsi="Arial" w:cs="Arial"/>
          <w:sz w:val="24"/>
          <w:szCs w:val="24"/>
        </w:rPr>
        <w:t>Nefrologia</w:t>
      </w:r>
      <w:proofErr w:type="spellEnd"/>
      <w:r w:rsidRPr="003D069B">
        <w:rPr>
          <w:rFonts w:ascii="Arial" w:hAnsi="Arial" w:cs="Arial"/>
          <w:sz w:val="24"/>
          <w:szCs w:val="24"/>
        </w:rPr>
        <w:t xml:space="preserve"> 201</w:t>
      </w:r>
      <w:r w:rsidR="000E5F31">
        <w:rPr>
          <w:rFonts w:ascii="Arial" w:hAnsi="Arial" w:cs="Arial"/>
          <w:sz w:val="24"/>
          <w:szCs w:val="24"/>
        </w:rPr>
        <w:t>9</w:t>
      </w:r>
      <w:r w:rsidRPr="003D069B">
        <w:rPr>
          <w:rFonts w:ascii="Arial" w:hAnsi="Arial" w:cs="Arial"/>
          <w:sz w:val="24"/>
          <w:szCs w:val="24"/>
        </w:rPr>
        <w:t xml:space="preserve">; 37(5): 461-464. </w:t>
      </w:r>
      <w:hyperlink r:id="rId27" w:history="1">
        <w:r w:rsidRPr="003D069B">
          <w:rPr>
            <w:rStyle w:val="Hipervnculo"/>
            <w:rFonts w:ascii="Arial" w:hAnsi="Arial" w:cs="Arial"/>
            <w:color w:val="auto"/>
            <w:sz w:val="24"/>
            <w:szCs w:val="24"/>
          </w:rPr>
          <w:t>http://dx.doi.org/10.1016/j.nefro.2017.03.010</w:t>
        </w:r>
      </w:hyperlink>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lastRenderedPageBreak/>
        <w:t>Rivas-Sierra R, Fernández-Vega S, García-Villar Y. Fracaso renal agudo. En: Alfonso-Guerra JP, editor. Nefrología. La Habana: Editorial de ciencias médicas, 2016. P.334-382.</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 xml:space="preserve">Ministerio de Salud Pública. Anuario Estadístico de Salud, 2016. Dirección de Registros médicos y Estadísticas de salud. La Habana, 2017. Disponible en: </w:t>
      </w:r>
      <w:hyperlink r:id="rId28" w:history="1">
        <w:r w:rsidRPr="003D069B">
          <w:rPr>
            <w:rStyle w:val="Hipervnculo"/>
            <w:rFonts w:ascii="Arial" w:hAnsi="Arial" w:cs="Arial"/>
            <w:color w:val="auto"/>
            <w:sz w:val="24"/>
            <w:szCs w:val="24"/>
          </w:rPr>
          <w:t>http://files.sld.cu/bvscuba/files/2017/04/anuarioestadistico-de-salud2016.pdf</w:t>
        </w:r>
      </w:hyperlink>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Moreno-Santillán AA, Díaz de León-Ponce MA, Briones-Vega CG, Martínez-Adame LM, Gómez-Bravo ET, Briones-Garduño</w:t>
      </w:r>
      <w:r w:rsidR="005F3CF8" w:rsidRPr="003D069B">
        <w:rPr>
          <w:rFonts w:ascii="Arial" w:hAnsi="Arial" w:cs="Arial"/>
          <w:sz w:val="24"/>
          <w:szCs w:val="24"/>
        </w:rPr>
        <w:t xml:space="preserve"> JC, et al.</w:t>
      </w:r>
      <w:r w:rsidRPr="003D069B">
        <w:rPr>
          <w:rFonts w:ascii="Arial" w:hAnsi="Arial" w:cs="Arial"/>
          <w:sz w:val="24"/>
          <w:szCs w:val="24"/>
        </w:rPr>
        <w:t xml:space="preserve"> Insuﬁciencia renal aguda en obstetricia. Revisión de la literatura. Volumen 41, No. 4, octubre-diciembre 20</w:t>
      </w:r>
      <w:r w:rsidR="000E5F31">
        <w:rPr>
          <w:rFonts w:ascii="Arial" w:hAnsi="Arial" w:cs="Arial"/>
          <w:sz w:val="24"/>
          <w:szCs w:val="24"/>
        </w:rPr>
        <w:t>20</w:t>
      </w:r>
      <w:r w:rsidRPr="003D069B">
        <w:rPr>
          <w:rFonts w:ascii="Arial" w:hAnsi="Arial" w:cs="Arial"/>
          <w:sz w:val="24"/>
          <w:szCs w:val="24"/>
        </w:rPr>
        <w:t xml:space="preserve">. pp. 287-293. </w:t>
      </w:r>
      <w:hyperlink r:id="rId29" w:history="1">
        <w:r w:rsidRPr="003D069B">
          <w:rPr>
            <w:rStyle w:val="Hipervnculo"/>
            <w:rFonts w:ascii="Arial" w:hAnsi="Arial" w:cs="Arial"/>
            <w:color w:val="auto"/>
            <w:sz w:val="24"/>
            <w:szCs w:val="24"/>
          </w:rPr>
          <w:t>www.mediagraphic.org.mex</w:t>
        </w:r>
      </w:hyperlink>
    </w:p>
    <w:p w:rsidR="00855543" w:rsidRPr="003D069B" w:rsidRDefault="005F3CF8" w:rsidP="00855543">
      <w:pPr>
        <w:pStyle w:val="Prrafodelista"/>
        <w:numPr>
          <w:ilvl w:val="0"/>
          <w:numId w:val="10"/>
        </w:numPr>
        <w:spacing w:after="160" w:line="360" w:lineRule="auto"/>
        <w:ind w:left="284" w:hanging="284"/>
        <w:jc w:val="both"/>
        <w:rPr>
          <w:rFonts w:ascii="Arial" w:hAnsi="Arial" w:cs="Arial"/>
          <w:sz w:val="24"/>
          <w:szCs w:val="24"/>
          <w:lang w:val="en-US"/>
        </w:rPr>
      </w:pPr>
      <w:r w:rsidRPr="003D069B">
        <w:rPr>
          <w:rFonts w:ascii="Arial" w:hAnsi="Arial" w:cs="Arial"/>
          <w:sz w:val="24"/>
          <w:szCs w:val="24"/>
          <w:lang w:val="en-US"/>
        </w:rPr>
        <w:t>Lopez</w:t>
      </w:r>
      <w:r w:rsidR="00855543" w:rsidRPr="003D069B">
        <w:rPr>
          <w:rFonts w:ascii="Arial" w:hAnsi="Arial" w:cs="Arial"/>
          <w:sz w:val="24"/>
          <w:szCs w:val="24"/>
          <w:lang w:val="en-US"/>
        </w:rPr>
        <w:t xml:space="preserve"> JA, Jorge S. The RIFLE and </w:t>
      </w:r>
      <w:proofErr w:type="gramStart"/>
      <w:r w:rsidR="00855543" w:rsidRPr="003D069B">
        <w:rPr>
          <w:rFonts w:ascii="Arial" w:hAnsi="Arial" w:cs="Arial"/>
          <w:sz w:val="24"/>
          <w:szCs w:val="24"/>
          <w:lang w:val="en-US"/>
        </w:rPr>
        <w:t>AKIN</w:t>
      </w:r>
      <w:proofErr w:type="gramEnd"/>
      <w:r w:rsidR="00855543" w:rsidRPr="003D069B">
        <w:rPr>
          <w:rFonts w:ascii="Arial" w:hAnsi="Arial" w:cs="Arial"/>
          <w:sz w:val="24"/>
          <w:szCs w:val="24"/>
          <w:lang w:val="en-US"/>
        </w:rPr>
        <w:t xml:space="preserve"> </w:t>
      </w:r>
      <w:proofErr w:type="spellStart"/>
      <w:r w:rsidR="00855543" w:rsidRPr="003D069B">
        <w:rPr>
          <w:rFonts w:ascii="Arial" w:hAnsi="Arial" w:cs="Arial"/>
          <w:sz w:val="24"/>
          <w:szCs w:val="24"/>
          <w:lang w:val="en-US"/>
        </w:rPr>
        <w:t>classi</w:t>
      </w:r>
      <w:proofErr w:type="spellEnd"/>
      <w:r w:rsidR="00855543" w:rsidRPr="003D069B">
        <w:rPr>
          <w:rFonts w:ascii="Arial" w:hAnsi="Arial" w:cs="Arial"/>
          <w:sz w:val="24"/>
          <w:szCs w:val="24"/>
        </w:rPr>
        <w:t>ﬁ</w:t>
      </w:r>
      <w:proofErr w:type="spellStart"/>
      <w:r w:rsidR="00855543" w:rsidRPr="003D069B">
        <w:rPr>
          <w:rFonts w:ascii="Arial" w:hAnsi="Arial" w:cs="Arial"/>
          <w:sz w:val="24"/>
          <w:szCs w:val="24"/>
          <w:lang w:val="en-US"/>
        </w:rPr>
        <w:t>cations</w:t>
      </w:r>
      <w:proofErr w:type="spellEnd"/>
      <w:r w:rsidR="00855543" w:rsidRPr="003D069B">
        <w:rPr>
          <w:rFonts w:ascii="Arial" w:hAnsi="Arial" w:cs="Arial"/>
          <w:sz w:val="24"/>
          <w:szCs w:val="24"/>
          <w:lang w:val="en-US"/>
        </w:rPr>
        <w:t xml:space="preserve"> for acute kidney injury: a critical and comprehensive review. </w:t>
      </w:r>
      <w:proofErr w:type="spellStart"/>
      <w:r w:rsidR="00855543" w:rsidRPr="003D069B">
        <w:rPr>
          <w:rFonts w:ascii="Arial" w:hAnsi="Arial" w:cs="Arial"/>
          <w:sz w:val="24"/>
          <w:szCs w:val="24"/>
          <w:lang w:val="en-US"/>
        </w:rPr>
        <w:t>Clin</w:t>
      </w:r>
      <w:proofErr w:type="spellEnd"/>
      <w:r w:rsidR="00855543" w:rsidRPr="003D069B">
        <w:rPr>
          <w:rFonts w:ascii="Arial" w:hAnsi="Arial" w:cs="Arial"/>
          <w:sz w:val="24"/>
          <w:szCs w:val="24"/>
          <w:lang w:val="en-US"/>
        </w:rPr>
        <w:t xml:space="preserve"> Kidney J. 20</w:t>
      </w:r>
      <w:r w:rsidR="000E5F31">
        <w:rPr>
          <w:rFonts w:ascii="Arial" w:hAnsi="Arial" w:cs="Arial"/>
          <w:sz w:val="24"/>
          <w:szCs w:val="24"/>
          <w:lang w:val="en-US"/>
        </w:rPr>
        <w:t>21</w:t>
      </w:r>
      <w:proofErr w:type="gramStart"/>
      <w:r w:rsidR="00855543" w:rsidRPr="003D069B">
        <w:rPr>
          <w:rFonts w:ascii="Arial" w:hAnsi="Arial" w:cs="Arial"/>
          <w:sz w:val="24"/>
          <w:szCs w:val="24"/>
          <w:lang w:val="en-US"/>
        </w:rPr>
        <w:t>;6:8</w:t>
      </w:r>
      <w:proofErr w:type="gramEnd"/>
      <w:r w:rsidR="00855543" w:rsidRPr="003D069B">
        <w:rPr>
          <w:rFonts w:ascii="Arial" w:hAnsi="Arial" w:cs="Arial"/>
          <w:sz w:val="24"/>
          <w:szCs w:val="24"/>
          <w:lang w:val="en-US"/>
        </w:rPr>
        <w:t>-14.</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proofErr w:type="spellStart"/>
      <w:r w:rsidRPr="003D069B">
        <w:rPr>
          <w:rFonts w:ascii="Arial" w:hAnsi="Arial" w:cs="Arial"/>
          <w:sz w:val="24"/>
          <w:szCs w:val="24"/>
          <w:lang w:val="en-US"/>
        </w:rPr>
        <w:t>Medow</w:t>
      </w:r>
      <w:proofErr w:type="spellEnd"/>
      <w:r w:rsidRPr="003D069B">
        <w:rPr>
          <w:rFonts w:ascii="Arial" w:hAnsi="Arial" w:cs="Arial"/>
          <w:sz w:val="24"/>
          <w:szCs w:val="24"/>
          <w:lang w:val="en-US"/>
        </w:rPr>
        <w:t xml:space="preserve"> J, </w:t>
      </w:r>
      <w:proofErr w:type="spellStart"/>
      <w:r w:rsidRPr="003D069B">
        <w:rPr>
          <w:rFonts w:ascii="Arial" w:hAnsi="Arial" w:cs="Arial"/>
          <w:sz w:val="24"/>
          <w:szCs w:val="24"/>
          <w:lang w:val="en-US"/>
        </w:rPr>
        <w:t>Sanghvi</w:t>
      </w:r>
      <w:proofErr w:type="spellEnd"/>
      <w:r w:rsidRPr="003D069B">
        <w:rPr>
          <w:rFonts w:ascii="Arial" w:hAnsi="Arial" w:cs="Arial"/>
          <w:sz w:val="24"/>
          <w:szCs w:val="24"/>
          <w:lang w:val="en-US"/>
        </w:rPr>
        <w:t xml:space="preserve"> S, Hofmann R. Use of High-Flow Continuous Renal Replacement Therapy with Citrate Anticoagulation to Control Intracranial Pressure by Maintaining </w:t>
      </w:r>
      <w:proofErr w:type="spellStart"/>
      <w:r w:rsidRPr="003D069B">
        <w:rPr>
          <w:rFonts w:ascii="Arial" w:hAnsi="Arial" w:cs="Arial"/>
          <w:sz w:val="24"/>
          <w:szCs w:val="24"/>
          <w:lang w:val="en-US"/>
        </w:rPr>
        <w:t>Hypernatremia</w:t>
      </w:r>
      <w:proofErr w:type="spellEnd"/>
      <w:r w:rsidRPr="003D069B">
        <w:rPr>
          <w:rFonts w:ascii="Arial" w:hAnsi="Arial" w:cs="Arial"/>
          <w:sz w:val="24"/>
          <w:szCs w:val="24"/>
          <w:lang w:val="en-US"/>
        </w:rPr>
        <w:t xml:space="preserve"> in a Patient with Acute Brain Injury and Renal Failure. Clinical Medicine &amp; Research [serial on the Internet]. 201</w:t>
      </w:r>
      <w:r w:rsidR="000E5F31">
        <w:rPr>
          <w:rFonts w:ascii="Arial" w:hAnsi="Arial" w:cs="Arial"/>
          <w:sz w:val="24"/>
          <w:szCs w:val="24"/>
          <w:lang w:val="en-US"/>
        </w:rPr>
        <w:t>9, June</w:t>
      </w:r>
      <w:r w:rsidRPr="003D069B">
        <w:rPr>
          <w:rFonts w:ascii="Arial" w:hAnsi="Arial" w:cs="Arial"/>
          <w:sz w:val="24"/>
          <w:szCs w:val="24"/>
          <w:lang w:val="en-US"/>
        </w:rPr>
        <w:t xml:space="preserve">; 13(2): 89-93. </w:t>
      </w:r>
      <w:proofErr w:type="spellStart"/>
      <w:r w:rsidRPr="003D069B">
        <w:rPr>
          <w:rFonts w:ascii="Arial" w:hAnsi="Arial" w:cs="Arial"/>
          <w:sz w:val="24"/>
          <w:szCs w:val="24"/>
        </w:rPr>
        <w:t>Availablefrom</w:t>
      </w:r>
      <w:proofErr w:type="spellEnd"/>
      <w:r w:rsidRPr="003D069B">
        <w:rPr>
          <w:rFonts w:ascii="Arial" w:hAnsi="Arial" w:cs="Arial"/>
          <w:sz w:val="24"/>
          <w:szCs w:val="24"/>
        </w:rPr>
        <w:t>: MEDLINE Complete.</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r w:rsidRPr="003D069B">
        <w:rPr>
          <w:rFonts w:ascii="Arial" w:hAnsi="Arial" w:cs="Arial"/>
          <w:sz w:val="24"/>
          <w:szCs w:val="24"/>
        </w:rPr>
        <w:t xml:space="preserve">Bodi J, </w:t>
      </w:r>
      <w:proofErr w:type="spellStart"/>
      <w:r w:rsidRPr="003D069B">
        <w:rPr>
          <w:rFonts w:ascii="Arial" w:hAnsi="Arial" w:cs="Arial"/>
          <w:sz w:val="24"/>
          <w:szCs w:val="24"/>
        </w:rPr>
        <w:t>Nsibu</w:t>
      </w:r>
      <w:proofErr w:type="spellEnd"/>
      <w:r w:rsidRPr="003D069B">
        <w:rPr>
          <w:rFonts w:ascii="Arial" w:hAnsi="Arial" w:cs="Arial"/>
          <w:sz w:val="24"/>
          <w:szCs w:val="24"/>
        </w:rPr>
        <w:t xml:space="preserve"> C, </w:t>
      </w:r>
      <w:proofErr w:type="spellStart"/>
      <w:r w:rsidRPr="003D069B">
        <w:rPr>
          <w:rFonts w:ascii="Arial" w:hAnsi="Arial" w:cs="Arial"/>
          <w:sz w:val="24"/>
          <w:szCs w:val="24"/>
        </w:rPr>
        <w:t>Aloni</w:t>
      </w:r>
      <w:proofErr w:type="spellEnd"/>
      <w:r w:rsidRPr="003D069B">
        <w:rPr>
          <w:rFonts w:ascii="Arial" w:hAnsi="Arial" w:cs="Arial"/>
          <w:sz w:val="24"/>
          <w:szCs w:val="24"/>
        </w:rPr>
        <w:t xml:space="preserve"> M, </w:t>
      </w:r>
      <w:proofErr w:type="spellStart"/>
      <w:r w:rsidRPr="003D069B">
        <w:rPr>
          <w:rFonts w:ascii="Arial" w:hAnsi="Arial" w:cs="Arial"/>
          <w:sz w:val="24"/>
          <w:szCs w:val="24"/>
        </w:rPr>
        <w:t>Lukute</w:t>
      </w:r>
      <w:proofErr w:type="spellEnd"/>
      <w:r w:rsidRPr="003D069B">
        <w:rPr>
          <w:rFonts w:ascii="Arial" w:hAnsi="Arial" w:cs="Arial"/>
          <w:sz w:val="24"/>
          <w:szCs w:val="24"/>
        </w:rPr>
        <w:t xml:space="preserve"> G, </w:t>
      </w:r>
      <w:proofErr w:type="spellStart"/>
      <w:r w:rsidRPr="003D069B">
        <w:rPr>
          <w:rFonts w:ascii="Arial" w:hAnsi="Arial" w:cs="Arial"/>
          <w:sz w:val="24"/>
          <w:szCs w:val="24"/>
        </w:rPr>
        <w:t>Kunuanuna</w:t>
      </w:r>
      <w:proofErr w:type="spellEnd"/>
      <w:r w:rsidRPr="003D069B">
        <w:rPr>
          <w:rFonts w:ascii="Arial" w:hAnsi="Arial" w:cs="Arial"/>
          <w:sz w:val="24"/>
          <w:szCs w:val="24"/>
        </w:rPr>
        <w:t xml:space="preserve"> T, </w:t>
      </w:r>
      <w:proofErr w:type="spellStart"/>
      <w:r w:rsidRPr="003D069B">
        <w:rPr>
          <w:rFonts w:ascii="Arial" w:hAnsi="Arial" w:cs="Arial"/>
          <w:sz w:val="24"/>
          <w:szCs w:val="24"/>
        </w:rPr>
        <w:t>Pakasa</w:t>
      </w:r>
      <w:proofErr w:type="spellEnd"/>
      <w:r w:rsidRPr="003D069B">
        <w:rPr>
          <w:rFonts w:ascii="Arial" w:hAnsi="Arial" w:cs="Arial"/>
          <w:sz w:val="24"/>
          <w:szCs w:val="24"/>
        </w:rPr>
        <w:t xml:space="preserve"> N, et al. </w:t>
      </w:r>
      <w:r w:rsidRPr="003D069B">
        <w:rPr>
          <w:rFonts w:ascii="Arial" w:hAnsi="Arial" w:cs="Arial"/>
          <w:sz w:val="24"/>
          <w:szCs w:val="24"/>
          <w:lang w:val="en-US"/>
        </w:rPr>
        <w:t xml:space="preserve">Black water fever associated with acute renal failure among Congolese children in Kinshasa. Saudi Journal Of Kidney Diseases And Transplantation: An Official Publication </w:t>
      </w:r>
      <w:proofErr w:type="gramStart"/>
      <w:r w:rsidRPr="003D069B">
        <w:rPr>
          <w:rFonts w:ascii="Arial" w:hAnsi="Arial" w:cs="Arial"/>
          <w:sz w:val="24"/>
          <w:szCs w:val="24"/>
          <w:lang w:val="en-US"/>
        </w:rPr>
        <w:t>Of The Saudi Center For</w:t>
      </w:r>
      <w:proofErr w:type="gramEnd"/>
      <w:r w:rsidRPr="003D069B">
        <w:rPr>
          <w:rFonts w:ascii="Arial" w:hAnsi="Arial" w:cs="Arial"/>
          <w:sz w:val="24"/>
          <w:szCs w:val="24"/>
          <w:lang w:val="en-US"/>
        </w:rPr>
        <w:t xml:space="preserve"> Organ Transplantation, Saudi Arabia [serial on the Internet]. 20</w:t>
      </w:r>
      <w:r w:rsidR="000E5F31">
        <w:rPr>
          <w:rFonts w:ascii="Arial" w:hAnsi="Arial" w:cs="Arial"/>
          <w:sz w:val="24"/>
          <w:szCs w:val="24"/>
          <w:lang w:val="en-US"/>
        </w:rPr>
        <w:t>22, Nov</w:t>
      </w:r>
      <w:r w:rsidRPr="003D069B">
        <w:rPr>
          <w:rFonts w:ascii="Arial" w:hAnsi="Arial" w:cs="Arial"/>
          <w:sz w:val="24"/>
          <w:szCs w:val="24"/>
          <w:lang w:val="en-US"/>
        </w:rPr>
        <w:t>; 25(6): 1352-1358. Available from: MEDLINE Complete.</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proofErr w:type="spellStart"/>
      <w:r w:rsidRPr="003D069B">
        <w:rPr>
          <w:rFonts w:ascii="Arial" w:hAnsi="Arial" w:cs="Arial"/>
          <w:sz w:val="24"/>
          <w:szCs w:val="24"/>
          <w:lang w:val="en-US"/>
        </w:rPr>
        <w:t>Guclu</w:t>
      </w:r>
      <w:proofErr w:type="spellEnd"/>
      <w:r w:rsidRPr="003D069B">
        <w:rPr>
          <w:rFonts w:ascii="Arial" w:hAnsi="Arial" w:cs="Arial"/>
          <w:sz w:val="24"/>
          <w:szCs w:val="24"/>
          <w:lang w:val="en-US"/>
        </w:rPr>
        <w:t xml:space="preserve"> O, </w:t>
      </w:r>
      <w:proofErr w:type="spellStart"/>
      <w:r w:rsidRPr="003D069B">
        <w:rPr>
          <w:rFonts w:ascii="Arial" w:hAnsi="Arial" w:cs="Arial"/>
          <w:sz w:val="24"/>
          <w:szCs w:val="24"/>
          <w:lang w:val="en-US"/>
        </w:rPr>
        <w:t>Yavuz</w:t>
      </w:r>
      <w:proofErr w:type="spellEnd"/>
      <w:r w:rsidRPr="003D069B">
        <w:rPr>
          <w:rFonts w:ascii="Arial" w:hAnsi="Arial" w:cs="Arial"/>
          <w:sz w:val="24"/>
          <w:szCs w:val="24"/>
          <w:lang w:val="en-US"/>
        </w:rPr>
        <w:t xml:space="preserve"> C, </w:t>
      </w:r>
      <w:proofErr w:type="spellStart"/>
      <w:r w:rsidRPr="003D069B">
        <w:rPr>
          <w:rFonts w:ascii="Arial" w:hAnsi="Arial" w:cs="Arial"/>
          <w:sz w:val="24"/>
          <w:szCs w:val="24"/>
          <w:lang w:val="en-US"/>
        </w:rPr>
        <w:t>Gurkan</w:t>
      </w:r>
      <w:proofErr w:type="spellEnd"/>
      <w:r w:rsidRPr="003D069B">
        <w:rPr>
          <w:rFonts w:ascii="Arial" w:hAnsi="Arial" w:cs="Arial"/>
          <w:sz w:val="24"/>
          <w:szCs w:val="24"/>
          <w:lang w:val="en-US"/>
        </w:rPr>
        <w:t xml:space="preserve"> S, </w:t>
      </w:r>
      <w:proofErr w:type="spellStart"/>
      <w:r w:rsidRPr="003D069B">
        <w:rPr>
          <w:rFonts w:ascii="Arial" w:hAnsi="Arial" w:cs="Arial"/>
          <w:sz w:val="24"/>
          <w:szCs w:val="24"/>
          <w:lang w:val="en-US"/>
        </w:rPr>
        <w:t>Yuksel</w:t>
      </w:r>
      <w:proofErr w:type="spellEnd"/>
      <w:r w:rsidRPr="003D069B">
        <w:rPr>
          <w:rFonts w:ascii="Arial" w:hAnsi="Arial" w:cs="Arial"/>
          <w:sz w:val="24"/>
          <w:szCs w:val="24"/>
          <w:lang w:val="en-US"/>
        </w:rPr>
        <w:t xml:space="preserve"> V, </w:t>
      </w:r>
      <w:proofErr w:type="spellStart"/>
      <w:r w:rsidRPr="003D069B">
        <w:rPr>
          <w:rFonts w:ascii="Arial" w:hAnsi="Arial" w:cs="Arial"/>
          <w:sz w:val="24"/>
          <w:szCs w:val="24"/>
          <w:lang w:val="en-US"/>
        </w:rPr>
        <w:t>Demirtas</w:t>
      </w:r>
      <w:proofErr w:type="spellEnd"/>
      <w:r w:rsidRPr="003D069B">
        <w:rPr>
          <w:rFonts w:ascii="Arial" w:hAnsi="Arial" w:cs="Arial"/>
          <w:sz w:val="24"/>
          <w:szCs w:val="24"/>
          <w:lang w:val="en-US"/>
        </w:rPr>
        <w:t xml:space="preserve"> S, </w:t>
      </w:r>
      <w:proofErr w:type="spellStart"/>
      <w:r w:rsidRPr="003D069B">
        <w:rPr>
          <w:rFonts w:ascii="Arial" w:hAnsi="Arial" w:cs="Arial"/>
          <w:sz w:val="24"/>
          <w:szCs w:val="24"/>
          <w:lang w:val="en-US"/>
        </w:rPr>
        <w:t>Canbaz</w:t>
      </w:r>
      <w:proofErr w:type="spellEnd"/>
      <w:r w:rsidRPr="003D069B">
        <w:rPr>
          <w:rFonts w:ascii="Arial" w:hAnsi="Arial" w:cs="Arial"/>
          <w:sz w:val="24"/>
          <w:szCs w:val="24"/>
          <w:lang w:val="en-US"/>
        </w:rPr>
        <w:t xml:space="preserve"> S, et al. Continuous renal replacement therapy after cardiac surgery in patients with acute renal failure. </w:t>
      </w:r>
      <w:proofErr w:type="spellStart"/>
      <w:r w:rsidRPr="003D069B">
        <w:rPr>
          <w:rFonts w:ascii="Arial" w:hAnsi="Arial" w:cs="Arial"/>
          <w:sz w:val="24"/>
          <w:szCs w:val="24"/>
          <w:lang w:val="en-US"/>
        </w:rPr>
        <w:t>MedicinskiGlasnik</w:t>
      </w:r>
      <w:proofErr w:type="spellEnd"/>
      <w:r w:rsidRPr="003D069B">
        <w:rPr>
          <w:rFonts w:ascii="Arial" w:hAnsi="Arial" w:cs="Arial"/>
          <w:sz w:val="24"/>
          <w:szCs w:val="24"/>
          <w:lang w:val="en-US"/>
        </w:rPr>
        <w:t xml:space="preserve">: Official Publication </w:t>
      </w:r>
      <w:proofErr w:type="gramStart"/>
      <w:r w:rsidRPr="003D069B">
        <w:rPr>
          <w:rFonts w:ascii="Arial" w:hAnsi="Arial" w:cs="Arial"/>
          <w:sz w:val="24"/>
          <w:szCs w:val="24"/>
          <w:lang w:val="en-US"/>
        </w:rPr>
        <w:t>Of The</w:t>
      </w:r>
      <w:proofErr w:type="gramEnd"/>
      <w:r w:rsidRPr="003D069B">
        <w:rPr>
          <w:rFonts w:ascii="Arial" w:hAnsi="Arial" w:cs="Arial"/>
          <w:sz w:val="24"/>
          <w:szCs w:val="24"/>
          <w:lang w:val="en-US"/>
        </w:rPr>
        <w:t xml:space="preserve"> Medical Association </w:t>
      </w:r>
      <w:proofErr w:type="spellStart"/>
      <w:r w:rsidRPr="003D069B">
        <w:rPr>
          <w:rFonts w:ascii="Arial" w:hAnsi="Arial" w:cs="Arial"/>
          <w:sz w:val="24"/>
          <w:szCs w:val="24"/>
          <w:lang w:val="en-US"/>
        </w:rPr>
        <w:t>OfZenica-Doboj</w:t>
      </w:r>
      <w:proofErr w:type="spellEnd"/>
      <w:r w:rsidRPr="003D069B">
        <w:rPr>
          <w:rFonts w:ascii="Arial" w:hAnsi="Arial" w:cs="Arial"/>
          <w:sz w:val="24"/>
          <w:szCs w:val="24"/>
          <w:lang w:val="en-US"/>
        </w:rPr>
        <w:t xml:space="preserve"> Canton, Bosnia And Herzegovina [serial on the Internet]. 201</w:t>
      </w:r>
      <w:r w:rsidR="00AD5AA8">
        <w:rPr>
          <w:rFonts w:ascii="Arial" w:hAnsi="Arial" w:cs="Arial"/>
          <w:sz w:val="24"/>
          <w:szCs w:val="24"/>
          <w:lang w:val="en-US"/>
        </w:rPr>
        <w:t>8</w:t>
      </w:r>
      <w:r w:rsidR="000E5F31">
        <w:rPr>
          <w:rFonts w:ascii="Arial" w:hAnsi="Arial" w:cs="Arial"/>
          <w:sz w:val="24"/>
          <w:szCs w:val="24"/>
          <w:lang w:val="en-US"/>
        </w:rPr>
        <w:t>, Aug</w:t>
      </w:r>
      <w:r w:rsidRPr="003D069B">
        <w:rPr>
          <w:rFonts w:ascii="Arial" w:hAnsi="Arial" w:cs="Arial"/>
          <w:sz w:val="24"/>
          <w:szCs w:val="24"/>
          <w:lang w:val="en-US"/>
        </w:rPr>
        <w:t>; 10(2): 244-248. Available from: MEDLINE Complete.</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r w:rsidRPr="003D069B">
        <w:rPr>
          <w:rFonts w:ascii="Arial" w:hAnsi="Arial" w:cs="Arial"/>
          <w:sz w:val="24"/>
          <w:szCs w:val="24"/>
          <w:lang w:val="en-US"/>
        </w:rPr>
        <w:t xml:space="preserve">Hsu J, Tsai C, Tseng K. </w:t>
      </w:r>
      <w:proofErr w:type="spellStart"/>
      <w:r w:rsidRPr="003D069B">
        <w:rPr>
          <w:rFonts w:ascii="Arial" w:hAnsi="Arial" w:cs="Arial"/>
          <w:sz w:val="24"/>
          <w:szCs w:val="24"/>
          <w:lang w:val="en-US"/>
        </w:rPr>
        <w:t>Fulminant</w:t>
      </w:r>
      <w:proofErr w:type="spellEnd"/>
      <w:r w:rsidRPr="003D069B">
        <w:rPr>
          <w:rFonts w:ascii="Arial" w:hAnsi="Arial" w:cs="Arial"/>
          <w:sz w:val="24"/>
          <w:szCs w:val="24"/>
          <w:lang w:val="en-US"/>
        </w:rPr>
        <w:t xml:space="preserve"> hepatic failure and acute renal failure as manifestations of concurrent Q fever and cytomegalovirus infection: a case </w:t>
      </w:r>
      <w:r w:rsidRPr="003D069B">
        <w:rPr>
          <w:rFonts w:ascii="Arial" w:hAnsi="Arial" w:cs="Arial"/>
          <w:sz w:val="24"/>
          <w:szCs w:val="24"/>
          <w:lang w:val="en-US"/>
        </w:rPr>
        <w:lastRenderedPageBreak/>
        <w:t>report. BMC Infectious Diseases [serial on the Internet]. 20</w:t>
      </w:r>
      <w:r w:rsidR="000E5F31">
        <w:rPr>
          <w:rFonts w:ascii="Arial" w:hAnsi="Arial" w:cs="Arial"/>
          <w:sz w:val="24"/>
          <w:szCs w:val="24"/>
          <w:lang w:val="en-US"/>
        </w:rPr>
        <w:t>21, Dec 9</w:t>
      </w:r>
      <w:r w:rsidRPr="003D069B">
        <w:rPr>
          <w:rFonts w:ascii="Arial" w:hAnsi="Arial" w:cs="Arial"/>
          <w:sz w:val="24"/>
          <w:szCs w:val="24"/>
          <w:lang w:val="en-US"/>
        </w:rPr>
        <w:t>; 14651. Available from: MEDLINE Complete.</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r w:rsidRPr="003D069B">
        <w:rPr>
          <w:rFonts w:ascii="Arial" w:hAnsi="Arial" w:cs="Arial"/>
          <w:sz w:val="24"/>
          <w:szCs w:val="24"/>
        </w:rPr>
        <w:t xml:space="preserve">Santibáñez-Velázquez M, Sánchez-Montoya F, </w:t>
      </w:r>
      <w:proofErr w:type="spellStart"/>
      <w:r w:rsidRPr="003D069B">
        <w:rPr>
          <w:rFonts w:ascii="Arial" w:hAnsi="Arial" w:cs="Arial"/>
          <w:sz w:val="24"/>
          <w:szCs w:val="24"/>
        </w:rPr>
        <w:t>Alvirde</w:t>
      </w:r>
      <w:proofErr w:type="spellEnd"/>
      <w:r w:rsidRPr="003D069B">
        <w:rPr>
          <w:rFonts w:ascii="Arial" w:hAnsi="Arial" w:cs="Arial"/>
          <w:sz w:val="24"/>
          <w:szCs w:val="24"/>
        </w:rPr>
        <w:t xml:space="preserve">-Gutiérrez L. Supervivencia en insuficiencia renal aguda tratada en forma convencional o con reemplazo continuo. </w:t>
      </w:r>
      <w:r w:rsidRPr="003D069B">
        <w:rPr>
          <w:rFonts w:ascii="Arial" w:hAnsi="Arial" w:cs="Arial"/>
          <w:sz w:val="24"/>
          <w:szCs w:val="24"/>
          <w:lang w:val="en-US"/>
        </w:rPr>
        <w:t xml:space="preserve">(Spanish). </w:t>
      </w:r>
      <w:proofErr w:type="spellStart"/>
      <w:r w:rsidRPr="003D069B">
        <w:rPr>
          <w:rFonts w:ascii="Arial" w:hAnsi="Arial" w:cs="Arial"/>
          <w:sz w:val="24"/>
          <w:szCs w:val="24"/>
          <w:lang w:val="en-US"/>
        </w:rPr>
        <w:t>RevistaMedica</w:t>
      </w:r>
      <w:proofErr w:type="spellEnd"/>
      <w:r w:rsidRPr="003D069B">
        <w:rPr>
          <w:rFonts w:ascii="Arial" w:hAnsi="Arial" w:cs="Arial"/>
          <w:sz w:val="24"/>
          <w:szCs w:val="24"/>
          <w:lang w:val="en-US"/>
        </w:rPr>
        <w:t xml:space="preserve"> Del IMSS [serial on the Internet]. 20</w:t>
      </w:r>
      <w:r w:rsidR="000E5F31">
        <w:rPr>
          <w:rFonts w:ascii="Arial" w:hAnsi="Arial" w:cs="Arial"/>
          <w:sz w:val="24"/>
          <w:szCs w:val="24"/>
          <w:lang w:val="en-US"/>
        </w:rPr>
        <w:t>22, May</w:t>
      </w:r>
      <w:r w:rsidRPr="003D069B">
        <w:rPr>
          <w:rFonts w:ascii="Arial" w:hAnsi="Arial" w:cs="Arial"/>
          <w:sz w:val="24"/>
          <w:szCs w:val="24"/>
          <w:lang w:val="en-US"/>
        </w:rPr>
        <w:t xml:space="preserve">; 52(3): 254-257. Available from: </w:t>
      </w:r>
      <w:proofErr w:type="spellStart"/>
      <w:r w:rsidRPr="003D069B">
        <w:rPr>
          <w:rFonts w:ascii="Arial" w:hAnsi="Arial" w:cs="Arial"/>
          <w:sz w:val="24"/>
          <w:szCs w:val="24"/>
          <w:lang w:val="en-US"/>
        </w:rPr>
        <w:t>MedicLatina</w:t>
      </w:r>
      <w:proofErr w:type="spellEnd"/>
      <w:r w:rsidRPr="003D069B">
        <w:rPr>
          <w:rFonts w:ascii="Arial" w:hAnsi="Arial" w:cs="Arial"/>
          <w:sz w:val="24"/>
          <w:szCs w:val="24"/>
          <w:lang w:val="en-US"/>
        </w:rPr>
        <w:t>.</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proofErr w:type="spellStart"/>
      <w:r w:rsidRPr="003D069B">
        <w:rPr>
          <w:rFonts w:ascii="Arial" w:hAnsi="Arial" w:cs="Arial"/>
          <w:sz w:val="24"/>
          <w:szCs w:val="24"/>
          <w:lang w:val="en-US"/>
        </w:rPr>
        <w:t>Ranjan</w:t>
      </w:r>
      <w:proofErr w:type="spellEnd"/>
      <w:r w:rsidRPr="003D069B">
        <w:rPr>
          <w:rFonts w:ascii="Arial" w:hAnsi="Arial" w:cs="Arial"/>
          <w:sz w:val="24"/>
          <w:szCs w:val="24"/>
          <w:lang w:val="en-US"/>
        </w:rPr>
        <w:t xml:space="preserve"> P, </w:t>
      </w:r>
      <w:proofErr w:type="spellStart"/>
      <w:r w:rsidRPr="003D069B">
        <w:rPr>
          <w:rFonts w:ascii="Arial" w:hAnsi="Arial" w:cs="Arial"/>
          <w:sz w:val="24"/>
          <w:szCs w:val="24"/>
          <w:lang w:val="en-US"/>
        </w:rPr>
        <w:t>Chipde</w:t>
      </w:r>
      <w:proofErr w:type="spellEnd"/>
      <w:r w:rsidRPr="003D069B">
        <w:rPr>
          <w:rFonts w:ascii="Arial" w:hAnsi="Arial" w:cs="Arial"/>
          <w:sz w:val="24"/>
          <w:szCs w:val="24"/>
          <w:lang w:val="en-US"/>
        </w:rPr>
        <w:t xml:space="preserve"> S, </w:t>
      </w:r>
      <w:proofErr w:type="spellStart"/>
      <w:r w:rsidRPr="003D069B">
        <w:rPr>
          <w:rFonts w:ascii="Arial" w:hAnsi="Arial" w:cs="Arial"/>
          <w:sz w:val="24"/>
          <w:szCs w:val="24"/>
          <w:lang w:val="en-US"/>
        </w:rPr>
        <w:t>Vashistha</w:t>
      </w:r>
      <w:proofErr w:type="spellEnd"/>
      <w:r w:rsidRPr="003D069B">
        <w:rPr>
          <w:rFonts w:ascii="Arial" w:hAnsi="Arial" w:cs="Arial"/>
          <w:sz w:val="24"/>
          <w:szCs w:val="24"/>
          <w:lang w:val="en-US"/>
        </w:rPr>
        <w:t xml:space="preserve"> S, </w:t>
      </w:r>
      <w:proofErr w:type="spellStart"/>
      <w:r w:rsidRPr="003D069B">
        <w:rPr>
          <w:rFonts w:ascii="Arial" w:hAnsi="Arial" w:cs="Arial"/>
          <w:sz w:val="24"/>
          <w:szCs w:val="24"/>
          <w:lang w:val="en-US"/>
        </w:rPr>
        <w:t>Kumari</w:t>
      </w:r>
      <w:proofErr w:type="spellEnd"/>
      <w:r w:rsidRPr="003D069B">
        <w:rPr>
          <w:rFonts w:ascii="Arial" w:hAnsi="Arial" w:cs="Arial"/>
          <w:sz w:val="24"/>
          <w:szCs w:val="24"/>
          <w:lang w:val="en-US"/>
        </w:rPr>
        <w:t xml:space="preserve"> N, </w:t>
      </w:r>
      <w:proofErr w:type="spellStart"/>
      <w:r w:rsidRPr="003D069B">
        <w:rPr>
          <w:rFonts w:ascii="Arial" w:hAnsi="Arial" w:cs="Arial"/>
          <w:sz w:val="24"/>
          <w:szCs w:val="24"/>
          <w:lang w:val="en-US"/>
        </w:rPr>
        <w:t>Kapoor</w:t>
      </w:r>
      <w:proofErr w:type="spellEnd"/>
      <w:r w:rsidRPr="003D069B">
        <w:rPr>
          <w:rFonts w:ascii="Arial" w:hAnsi="Arial" w:cs="Arial"/>
          <w:sz w:val="24"/>
          <w:szCs w:val="24"/>
          <w:lang w:val="en-US"/>
        </w:rPr>
        <w:t xml:space="preserve"> R. Reno-invasive fungal infection presenting as acute renal failure: importance of renal biopsy for early diagnosis. Saudi Journal Of Kidney Diseases And Transplantation: An Official Publication </w:t>
      </w:r>
      <w:proofErr w:type="gramStart"/>
      <w:r w:rsidRPr="003D069B">
        <w:rPr>
          <w:rFonts w:ascii="Arial" w:hAnsi="Arial" w:cs="Arial"/>
          <w:sz w:val="24"/>
          <w:szCs w:val="24"/>
          <w:lang w:val="en-US"/>
        </w:rPr>
        <w:t>Of The Saudi Center For</w:t>
      </w:r>
      <w:proofErr w:type="gramEnd"/>
      <w:r w:rsidRPr="003D069B">
        <w:rPr>
          <w:rFonts w:ascii="Arial" w:hAnsi="Arial" w:cs="Arial"/>
          <w:sz w:val="24"/>
          <w:szCs w:val="24"/>
          <w:lang w:val="en-US"/>
        </w:rPr>
        <w:t xml:space="preserve"> Organ Transplantation, Saudi Arabia [serial on the Internet]. 201</w:t>
      </w:r>
      <w:r w:rsidR="00AD5AA8">
        <w:rPr>
          <w:rFonts w:ascii="Arial" w:hAnsi="Arial" w:cs="Arial"/>
          <w:sz w:val="24"/>
          <w:szCs w:val="24"/>
          <w:lang w:val="en-US"/>
        </w:rPr>
        <w:t>8</w:t>
      </w:r>
      <w:r w:rsidR="000E5F31">
        <w:rPr>
          <w:rFonts w:ascii="Arial" w:hAnsi="Arial" w:cs="Arial"/>
          <w:sz w:val="24"/>
          <w:szCs w:val="24"/>
          <w:lang w:val="en-US"/>
        </w:rPr>
        <w:t>, Nov</w:t>
      </w:r>
      <w:r w:rsidRPr="003D069B">
        <w:rPr>
          <w:rFonts w:ascii="Arial" w:hAnsi="Arial" w:cs="Arial"/>
          <w:sz w:val="24"/>
          <w:szCs w:val="24"/>
          <w:lang w:val="en-US"/>
        </w:rPr>
        <w:t>; 25(6): 1282-1284. Available from: MEDLINE Complete.</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proofErr w:type="spellStart"/>
      <w:r w:rsidRPr="003D069B">
        <w:rPr>
          <w:rFonts w:ascii="Arial" w:hAnsi="Arial" w:cs="Arial"/>
          <w:sz w:val="24"/>
          <w:szCs w:val="24"/>
          <w:lang w:val="en-US"/>
        </w:rPr>
        <w:t>Desmons</w:t>
      </w:r>
      <w:proofErr w:type="spellEnd"/>
      <w:r w:rsidRPr="003D069B">
        <w:rPr>
          <w:rFonts w:ascii="Arial" w:hAnsi="Arial" w:cs="Arial"/>
          <w:sz w:val="24"/>
          <w:szCs w:val="24"/>
          <w:lang w:val="en-US"/>
        </w:rPr>
        <w:t xml:space="preserve"> A, </w:t>
      </w:r>
      <w:proofErr w:type="spellStart"/>
      <w:r w:rsidRPr="003D069B">
        <w:rPr>
          <w:rFonts w:ascii="Arial" w:hAnsi="Arial" w:cs="Arial"/>
          <w:sz w:val="24"/>
          <w:szCs w:val="24"/>
          <w:lang w:val="en-US"/>
        </w:rPr>
        <w:t>Jaisson</w:t>
      </w:r>
      <w:proofErr w:type="spellEnd"/>
      <w:r w:rsidRPr="003D069B">
        <w:rPr>
          <w:rFonts w:ascii="Arial" w:hAnsi="Arial" w:cs="Arial"/>
          <w:sz w:val="24"/>
          <w:szCs w:val="24"/>
          <w:lang w:val="en-US"/>
        </w:rPr>
        <w:t xml:space="preserve"> S, </w:t>
      </w:r>
      <w:proofErr w:type="spellStart"/>
      <w:r w:rsidRPr="003D069B">
        <w:rPr>
          <w:rFonts w:ascii="Arial" w:hAnsi="Arial" w:cs="Arial"/>
          <w:sz w:val="24"/>
          <w:szCs w:val="24"/>
          <w:lang w:val="en-US"/>
        </w:rPr>
        <w:t>Pietrement</w:t>
      </w:r>
      <w:proofErr w:type="spellEnd"/>
      <w:r w:rsidRPr="003D069B">
        <w:rPr>
          <w:rFonts w:ascii="Arial" w:hAnsi="Arial" w:cs="Arial"/>
          <w:sz w:val="24"/>
          <w:szCs w:val="24"/>
          <w:lang w:val="en-US"/>
        </w:rPr>
        <w:t xml:space="preserve"> C, </w:t>
      </w:r>
      <w:proofErr w:type="spellStart"/>
      <w:r w:rsidRPr="003D069B">
        <w:rPr>
          <w:rFonts w:ascii="Arial" w:hAnsi="Arial" w:cs="Arial"/>
          <w:sz w:val="24"/>
          <w:szCs w:val="24"/>
          <w:lang w:val="en-US"/>
        </w:rPr>
        <w:t>Rieu</w:t>
      </w:r>
      <w:proofErr w:type="spellEnd"/>
      <w:r w:rsidRPr="003D069B">
        <w:rPr>
          <w:rFonts w:ascii="Arial" w:hAnsi="Arial" w:cs="Arial"/>
          <w:sz w:val="24"/>
          <w:szCs w:val="24"/>
          <w:lang w:val="en-US"/>
        </w:rPr>
        <w:t xml:space="preserve"> P, </w:t>
      </w:r>
      <w:proofErr w:type="spellStart"/>
      <w:r w:rsidRPr="003D069B">
        <w:rPr>
          <w:rFonts w:ascii="Arial" w:hAnsi="Arial" w:cs="Arial"/>
          <w:sz w:val="24"/>
          <w:szCs w:val="24"/>
          <w:lang w:val="en-US"/>
        </w:rPr>
        <w:t>Wynckel</w:t>
      </w:r>
      <w:proofErr w:type="spellEnd"/>
      <w:r w:rsidRPr="003D069B">
        <w:rPr>
          <w:rFonts w:ascii="Arial" w:hAnsi="Arial" w:cs="Arial"/>
          <w:sz w:val="24"/>
          <w:szCs w:val="24"/>
          <w:lang w:val="en-US"/>
        </w:rPr>
        <w:t xml:space="preserve"> A, </w:t>
      </w:r>
      <w:proofErr w:type="spellStart"/>
      <w:r w:rsidRPr="003D069B">
        <w:rPr>
          <w:rFonts w:ascii="Arial" w:hAnsi="Arial" w:cs="Arial"/>
          <w:sz w:val="24"/>
          <w:szCs w:val="24"/>
          <w:lang w:val="en-US"/>
        </w:rPr>
        <w:t>Gillery</w:t>
      </w:r>
      <w:proofErr w:type="spellEnd"/>
      <w:r w:rsidRPr="003D069B">
        <w:rPr>
          <w:rFonts w:ascii="Arial" w:hAnsi="Arial" w:cs="Arial"/>
          <w:sz w:val="24"/>
          <w:szCs w:val="24"/>
          <w:lang w:val="en-US"/>
        </w:rPr>
        <w:t xml:space="preserve"> P. </w:t>
      </w:r>
      <w:proofErr w:type="spellStart"/>
      <w:r w:rsidRPr="003D069B">
        <w:rPr>
          <w:rFonts w:ascii="Arial" w:hAnsi="Arial" w:cs="Arial"/>
          <w:sz w:val="24"/>
          <w:szCs w:val="24"/>
          <w:lang w:val="en-US"/>
        </w:rPr>
        <w:t>Homocitrulline</w:t>
      </w:r>
      <w:proofErr w:type="spellEnd"/>
      <w:r w:rsidRPr="003D069B">
        <w:rPr>
          <w:rFonts w:ascii="Arial" w:hAnsi="Arial" w:cs="Arial"/>
          <w:sz w:val="24"/>
          <w:szCs w:val="24"/>
          <w:lang w:val="en-US"/>
        </w:rPr>
        <w:t>: a new marker for differentiating acute from chronic renal failure. Clinical Chemistry &amp; Laboratory Medicine [serial on the Internet]. 20</w:t>
      </w:r>
      <w:r w:rsidR="000E5F31">
        <w:rPr>
          <w:rFonts w:ascii="Arial" w:hAnsi="Arial" w:cs="Arial"/>
          <w:sz w:val="24"/>
          <w:szCs w:val="24"/>
          <w:lang w:val="en-US"/>
        </w:rPr>
        <w:t>20, Jan</w:t>
      </w:r>
      <w:r w:rsidRPr="003D069B">
        <w:rPr>
          <w:rFonts w:ascii="Arial" w:hAnsi="Arial" w:cs="Arial"/>
          <w:sz w:val="24"/>
          <w:szCs w:val="24"/>
          <w:lang w:val="en-US"/>
        </w:rPr>
        <w:t>; 54(1): 73-79. Available from: Academic Search Premier.</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r w:rsidRPr="003D069B">
        <w:rPr>
          <w:rFonts w:ascii="Arial" w:hAnsi="Arial" w:cs="Arial"/>
          <w:sz w:val="24"/>
          <w:szCs w:val="24"/>
          <w:lang w:val="en-US"/>
        </w:rPr>
        <w:t>Herrera-</w:t>
      </w:r>
      <w:proofErr w:type="spellStart"/>
      <w:r w:rsidRPr="003D069B">
        <w:rPr>
          <w:rFonts w:ascii="Arial" w:hAnsi="Arial" w:cs="Arial"/>
          <w:sz w:val="24"/>
          <w:szCs w:val="24"/>
          <w:lang w:val="en-US"/>
        </w:rPr>
        <w:t>Méndez</w:t>
      </w:r>
      <w:proofErr w:type="spellEnd"/>
      <w:r w:rsidRPr="003D069B">
        <w:rPr>
          <w:rFonts w:ascii="Arial" w:hAnsi="Arial" w:cs="Arial"/>
          <w:sz w:val="24"/>
          <w:szCs w:val="24"/>
          <w:lang w:val="en-US"/>
        </w:rPr>
        <w:t xml:space="preserve"> J, </w:t>
      </w:r>
      <w:proofErr w:type="spellStart"/>
      <w:r w:rsidRPr="003D069B">
        <w:rPr>
          <w:rFonts w:ascii="Arial" w:hAnsi="Arial" w:cs="Arial"/>
          <w:sz w:val="24"/>
          <w:szCs w:val="24"/>
          <w:lang w:val="en-US"/>
        </w:rPr>
        <w:t>Sánchez</w:t>
      </w:r>
      <w:proofErr w:type="spellEnd"/>
      <w:r w:rsidRPr="003D069B">
        <w:rPr>
          <w:rFonts w:ascii="Arial" w:hAnsi="Arial" w:cs="Arial"/>
          <w:sz w:val="24"/>
          <w:szCs w:val="24"/>
          <w:lang w:val="en-US"/>
        </w:rPr>
        <w:t>-Velázquez L, González-</w:t>
      </w:r>
      <w:proofErr w:type="spellStart"/>
      <w:r w:rsidRPr="003D069B">
        <w:rPr>
          <w:rFonts w:ascii="Arial" w:hAnsi="Arial" w:cs="Arial"/>
          <w:sz w:val="24"/>
          <w:szCs w:val="24"/>
          <w:lang w:val="en-US"/>
        </w:rPr>
        <w:t>Chávez</w:t>
      </w:r>
      <w:proofErr w:type="spellEnd"/>
      <w:r w:rsidRPr="003D069B">
        <w:rPr>
          <w:rFonts w:ascii="Arial" w:hAnsi="Arial" w:cs="Arial"/>
          <w:sz w:val="24"/>
          <w:szCs w:val="24"/>
          <w:lang w:val="en-US"/>
        </w:rPr>
        <w:t xml:space="preserve"> A, </w:t>
      </w:r>
      <w:proofErr w:type="spellStart"/>
      <w:r w:rsidRPr="003D069B">
        <w:rPr>
          <w:rFonts w:ascii="Arial" w:hAnsi="Arial" w:cs="Arial"/>
          <w:sz w:val="24"/>
          <w:szCs w:val="24"/>
          <w:lang w:val="en-US"/>
        </w:rPr>
        <w:t>Rodríguez-Terán</w:t>
      </w:r>
      <w:proofErr w:type="spellEnd"/>
      <w:r w:rsidRPr="003D069B">
        <w:rPr>
          <w:rFonts w:ascii="Arial" w:hAnsi="Arial" w:cs="Arial"/>
          <w:sz w:val="24"/>
          <w:szCs w:val="24"/>
          <w:lang w:val="en-US"/>
        </w:rPr>
        <w:t xml:space="preserve"> G. Incidence of the acute renal failure in the intensive care unit at the General Hospital of Mexico: Risk factors and associated morbidity and mortality. </w:t>
      </w:r>
      <w:r w:rsidRPr="003D069B">
        <w:rPr>
          <w:rFonts w:ascii="Arial" w:hAnsi="Arial" w:cs="Arial"/>
          <w:sz w:val="24"/>
          <w:szCs w:val="24"/>
        </w:rPr>
        <w:t xml:space="preserve">Revista </w:t>
      </w:r>
      <w:proofErr w:type="spellStart"/>
      <w:r w:rsidRPr="003D069B">
        <w:rPr>
          <w:rFonts w:ascii="Arial" w:hAnsi="Arial" w:cs="Arial"/>
          <w:sz w:val="24"/>
          <w:szCs w:val="24"/>
        </w:rPr>
        <w:t>Medica</w:t>
      </w:r>
      <w:proofErr w:type="spellEnd"/>
      <w:r w:rsidRPr="003D069B">
        <w:rPr>
          <w:rFonts w:ascii="Arial" w:hAnsi="Arial" w:cs="Arial"/>
          <w:sz w:val="24"/>
          <w:szCs w:val="24"/>
        </w:rPr>
        <w:t xml:space="preserve"> Del Hospital General De </w:t>
      </w:r>
      <w:proofErr w:type="spellStart"/>
      <w:r w:rsidRPr="003D069B">
        <w:rPr>
          <w:rFonts w:ascii="Arial" w:hAnsi="Arial" w:cs="Arial"/>
          <w:sz w:val="24"/>
          <w:szCs w:val="24"/>
        </w:rPr>
        <w:t>Mexico</w:t>
      </w:r>
      <w:proofErr w:type="spellEnd"/>
      <w:r w:rsidRPr="003D069B">
        <w:rPr>
          <w:rFonts w:ascii="Arial" w:hAnsi="Arial" w:cs="Arial"/>
          <w:sz w:val="24"/>
          <w:szCs w:val="24"/>
        </w:rPr>
        <w:t xml:space="preserve"> [serial </w:t>
      </w:r>
      <w:proofErr w:type="spellStart"/>
      <w:r w:rsidRPr="003D069B">
        <w:rPr>
          <w:rFonts w:ascii="Arial" w:hAnsi="Arial" w:cs="Arial"/>
          <w:sz w:val="24"/>
          <w:szCs w:val="24"/>
        </w:rPr>
        <w:t>onthe</w:t>
      </w:r>
      <w:proofErr w:type="spellEnd"/>
      <w:r w:rsidRPr="003D069B">
        <w:rPr>
          <w:rFonts w:ascii="Arial" w:hAnsi="Arial" w:cs="Arial"/>
          <w:sz w:val="24"/>
          <w:szCs w:val="24"/>
        </w:rPr>
        <w:t xml:space="preserve"> Internet]. </w:t>
      </w:r>
      <w:r w:rsidRPr="003D069B">
        <w:rPr>
          <w:rFonts w:ascii="Arial" w:hAnsi="Arial" w:cs="Arial"/>
          <w:sz w:val="24"/>
          <w:szCs w:val="24"/>
          <w:lang w:val="en-US"/>
        </w:rPr>
        <w:t>20</w:t>
      </w:r>
      <w:r w:rsidR="000E5F31">
        <w:rPr>
          <w:rFonts w:ascii="Arial" w:hAnsi="Arial" w:cs="Arial"/>
          <w:sz w:val="24"/>
          <w:szCs w:val="24"/>
          <w:lang w:val="en-US"/>
        </w:rPr>
        <w:t>21, Apr</w:t>
      </w:r>
      <w:r w:rsidRPr="003D069B">
        <w:rPr>
          <w:rFonts w:ascii="Arial" w:hAnsi="Arial" w:cs="Arial"/>
          <w:sz w:val="24"/>
          <w:szCs w:val="24"/>
          <w:lang w:val="en-US"/>
        </w:rPr>
        <w:t xml:space="preserve">; 78(2): 62-66. Available from: </w:t>
      </w:r>
      <w:proofErr w:type="spellStart"/>
      <w:r w:rsidRPr="003D069B">
        <w:rPr>
          <w:rFonts w:ascii="Arial" w:hAnsi="Arial" w:cs="Arial"/>
          <w:sz w:val="24"/>
          <w:szCs w:val="24"/>
          <w:lang w:val="en-US"/>
        </w:rPr>
        <w:t>MedicLatina</w:t>
      </w:r>
      <w:proofErr w:type="spellEnd"/>
      <w:r w:rsidRPr="003D069B">
        <w:rPr>
          <w:rFonts w:ascii="Arial" w:hAnsi="Arial" w:cs="Arial"/>
          <w:sz w:val="24"/>
          <w:szCs w:val="24"/>
          <w:lang w:val="en-US"/>
        </w:rPr>
        <w:t>.</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proofErr w:type="spellStart"/>
      <w:r w:rsidRPr="003D069B">
        <w:rPr>
          <w:rFonts w:ascii="Arial" w:hAnsi="Arial" w:cs="Arial"/>
          <w:sz w:val="24"/>
          <w:szCs w:val="24"/>
          <w:lang w:val="en-US"/>
        </w:rPr>
        <w:t>Jokiel-Rokita</w:t>
      </w:r>
      <w:proofErr w:type="spellEnd"/>
      <w:r w:rsidRPr="003D069B">
        <w:rPr>
          <w:rFonts w:ascii="Arial" w:hAnsi="Arial" w:cs="Arial"/>
          <w:sz w:val="24"/>
          <w:szCs w:val="24"/>
          <w:lang w:val="en-US"/>
        </w:rPr>
        <w:t xml:space="preserve">, A. y </w:t>
      </w:r>
      <w:proofErr w:type="spellStart"/>
      <w:r w:rsidRPr="003D069B">
        <w:rPr>
          <w:rFonts w:ascii="Arial" w:hAnsi="Arial" w:cs="Arial"/>
          <w:sz w:val="24"/>
          <w:szCs w:val="24"/>
          <w:lang w:val="en-US"/>
        </w:rPr>
        <w:t>Pulit</w:t>
      </w:r>
      <w:proofErr w:type="spellEnd"/>
      <w:r w:rsidRPr="003D069B">
        <w:rPr>
          <w:rFonts w:ascii="Arial" w:hAnsi="Arial" w:cs="Arial"/>
          <w:sz w:val="24"/>
          <w:szCs w:val="24"/>
          <w:lang w:val="en-US"/>
        </w:rPr>
        <w:t xml:space="preserve">, M.S. (2013): 'Nonparametric estimation of the ROC curve based on smoothed empirical distribution functions'. Stat </w:t>
      </w:r>
      <w:proofErr w:type="spellStart"/>
      <w:r w:rsidRPr="003D069B">
        <w:rPr>
          <w:rFonts w:ascii="Arial" w:hAnsi="Arial" w:cs="Arial"/>
          <w:sz w:val="24"/>
          <w:szCs w:val="24"/>
          <w:lang w:val="en-US"/>
        </w:rPr>
        <w:t>Comput</w:t>
      </w:r>
      <w:proofErr w:type="spellEnd"/>
      <w:r w:rsidRPr="003D069B">
        <w:rPr>
          <w:rFonts w:ascii="Arial" w:hAnsi="Arial" w:cs="Arial"/>
          <w:sz w:val="24"/>
          <w:szCs w:val="24"/>
          <w:lang w:val="en-US"/>
        </w:rPr>
        <w:t xml:space="preserve"> 23: 703</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Muñoz-Pichardo JM. Curvas ROC y sus aplicaciones. {disertación} Universidad de Sevilla; 201</w:t>
      </w:r>
      <w:r w:rsidR="00AD5AA8">
        <w:rPr>
          <w:rFonts w:ascii="Arial" w:hAnsi="Arial" w:cs="Arial"/>
          <w:sz w:val="24"/>
          <w:szCs w:val="24"/>
        </w:rPr>
        <w:t>7</w:t>
      </w:r>
      <w:r w:rsidRPr="003D069B">
        <w:rPr>
          <w:rFonts w:ascii="Arial" w:hAnsi="Arial" w:cs="Arial"/>
          <w:sz w:val="24"/>
          <w:szCs w:val="24"/>
        </w:rPr>
        <w:t>.</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proofErr w:type="spellStart"/>
      <w:r w:rsidRPr="003D069B">
        <w:rPr>
          <w:rFonts w:ascii="Arial" w:hAnsi="Arial" w:cs="Arial"/>
          <w:sz w:val="24"/>
          <w:szCs w:val="24"/>
        </w:rPr>
        <w:t>Iwagami</w:t>
      </w:r>
      <w:proofErr w:type="spellEnd"/>
      <w:r w:rsidR="0024756C" w:rsidRPr="003D069B">
        <w:rPr>
          <w:rFonts w:ascii="Arial" w:hAnsi="Arial" w:cs="Arial"/>
          <w:sz w:val="24"/>
          <w:szCs w:val="24"/>
        </w:rPr>
        <w:t xml:space="preserve"> M</w:t>
      </w:r>
      <w:r w:rsidRPr="003D069B">
        <w:rPr>
          <w:rFonts w:ascii="Arial" w:hAnsi="Arial" w:cs="Arial"/>
          <w:sz w:val="24"/>
          <w:szCs w:val="24"/>
        </w:rPr>
        <w:t xml:space="preserve">, </w:t>
      </w:r>
      <w:proofErr w:type="spellStart"/>
      <w:r w:rsidRPr="003D069B">
        <w:rPr>
          <w:rFonts w:ascii="Arial" w:hAnsi="Arial" w:cs="Arial"/>
          <w:sz w:val="24"/>
          <w:szCs w:val="24"/>
        </w:rPr>
        <w:t>Yasunaga</w:t>
      </w:r>
      <w:proofErr w:type="spellEnd"/>
      <w:r w:rsidR="0024756C" w:rsidRPr="003D069B">
        <w:rPr>
          <w:rFonts w:ascii="Arial" w:hAnsi="Arial" w:cs="Arial"/>
          <w:sz w:val="24"/>
          <w:szCs w:val="24"/>
        </w:rPr>
        <w:t xml:space="preserve"> H</w:t>
      </w:r>
      <w:r w:rsidRPr="003D069B">
        <w:rPr>
          <w:rFonts w:ascii="Arial" w:hAnsi="Arial" w:cs="Arial"/>
          <w:sz w:val="24"/>
          <w:szCs w:val="24"/>
        </w:rPr>
        <w:t xml:space="preserve">, </w:t>
      </w:r>
      <w:proofErr w:type="spellStart"/>
      <w:r w:rsidRPr="003D069B">
        <w:rPr>
          <w:rFonts w:ascii="Arial" w:hAnsi="Arial" w:cs="Arial"/>
          <w:sz w:val="24"/>
          <w:szCs w:val="24"/>
        </w:rPr>
        <w:t>Noiri</w:t>
      </w:r>
      <w:proofErr w:type="spellEnd"/>
      <w:r w:rsidR="0024756C" w:rsidRPr="003D069B">
        <w:rPr>
          <w:rFonts w:ascii="Arial" w:hAnsi="Arial" w:cs="Arial"/>
          <w:sz w:val="24"/>
          <w:szCs w:val="24"/>
        </w:rPr>
        <w:t xml:space="preserve"> E</w:t>
      </w:r>
      <w:r w:rsidRPr="003D069B">
        <w:rPr>
          <w:rFonts w:ascii="Arial" w:hAnsi="Arial" w:cs="Arial"/>
          <w:sz w:val="24"/>
          <w:szCs w:val="24"/>
        </w:rPr>
        <w:t xml:space="preserve">, </w:t>
      </w:r>
      <w:proofErr w:type="spellStart"/>
      <w:r w:rsidRPr="003D069B">
        <w:rPr>
          <w:rFonts w:ascii="Arial" w:hAnsi="Arial" w:cs="Arial"/>
          <w:sz w:val="24"/>
          <w:szCs w:val="24"/>
        </w:rPr>
        <w:t>Horiguchi</w:t>
      </w:r>
      <w:proofErr w:type="spellEnd"/>
      <w:r w:rsidR="0024756C" w:rsidRPr="003D069B">
        <w:rPr>
          <w:rFonts w:ascii="Arial" w:hAnsi="Arial" w:cs="Arial"/>
          <w:sz w:val="24"/>
          <w:szCs w:val="24"/>
        </w:rPr>
        <w:t xml:space="preserve"> H</w:t>
      </w:r>
      <w:r w:rsidRPr="003D069B">
        <w:rPr>
          <w:rFonts w:ascii="Arial" w:hAnsi="Arial" w:cs="Arial"/>
          <w:sz w:val="24"/>
          <w:szCs w:val="24"/>
        </w:rPr>
        <w:t xml:space="preserve">, </w:t>
      </w:r>
      <w:proofErr w:type="spellStart"/>
      <w:r w:rsidRPr="003D069B">
        <w:rPr>
          <w:rFonts w:ascii="Arial" w:hAnsi="Arial" w:cs="Arial"/>
          <w:sz w:val="24"/>
          <w:szCs w:val="24"/>
        </w:rPr>
        <w:t>Fushimi</w:t>
      </w:r>
      <w:proofErr w:type="spellEnd"/>
      <w:r w:rsidR="0024756C" w:rsidRPr="003D069B">
        <w:rPr>
          <w:rFonts w:ascii="Arial" w:hAnsi="Arial" w:cs="Arial"/>
          <w:sz w:val="24"/>
          <w:szCs w:val="24"/>
        </w:rPr>
        <w:t xml:space="preserve"> K</w:t>
      </w:r>
      <w:r w:rsidRPr="003D069B">
        <w:rPr>
          <w:rFonts w:ascii="Arial" w:hAnsi="Arial" w:cs="Arial"/>
          <w:sz w:val="24"/>
          <w:szCs w:val="24"/>
        </w:rPr>
        <w:t xml:space="preserve">, </w:t>
      </w:r>
      <w:proofErr w:type="spellStart"/>
      <w:r w:rsidRPr="003D069B">
        <w:rPr>
          <w:rFonts w:ascii="Arial" w:hAnsi="Arial" w:cs="Arial"/>
          <w:sz w:val="24"/>
          <w:szCs w:val="24"/>
        </w:rPr>
        <w:t>Matsubara</w:t>
      </w:r>
      <w:proofErr w:type="spellEnd"/>
      <w:r w:rsidR="0024756C" w:rsidRPr="003D069B">
        <w:rPr>
          <w:rFonts w:ascii="Arial" w:hAnsi="Arial" w:cs="Arial"/>
          <w:sz w:val="24"/>
          <w:szCs w:val="24"/>
        </w:rPr>
        <w:t xml:space="preserve"> T, et al.</w:t>
      </w:r>
      <w:r w:rsidRPr="003D069B">
        <w:rPr>
          <w:rFonts w:ascii="Arial" w:hAnsi="Arial" w:cs="Arial"/>
          <w:sz w:val="24"/>
          <w:szCs w:val="24"/>
        </w:rPr>
        <w:t xml:space="preserve"> </w:t>
      </w:r>
      <w:r w:rsidRPr="003D069B">
        <w:rPr>
          <w:rFonts w:ascii="Arial" w:hAnsi="Arial" w:cs="Arial"/>
          <w:sz w:val="24"/>
          <w:szCs w:val="24"/>
          <w:lang w:val="en-US"/>
        </w:rPr>
        <w:t>Choice of renal replacement therapy modality in intensive care units: Data from a Japanese Nationwide Administrative Claim Database. Journal of Critical Care 30 (2015) 381-385.</w:t>
      </w:r>
    </w:p>
    <w:p w:rsidR="00855543" w:rsidRPr="003D069B" w:rsidRDefault="00DE6247" w:rsidP="00855543">
      <w:pPr>
        <w:pStyle w:val="Prrafodelista"/>
        <w:numPr>
          <w:ilvl w:val="0"/>
          <w:numId w:val="10"/>
        </w:numPr>
        <w:spacing w:after="160" w:line="360" w:lineRule="auto"/>
        <w:ind w:left="284" w:hanging="284"/>
        <w:jc w:val="both"/>
        <w:rPr>
          <w:rFonts w:ascii="Arial" w:hAnsi="Arial" w:cs="Arial"/>
          <w:sz w:val="24"/>
          <w:szCs w:val="24"/>
          <w:lang w:val="en-US"/>
        </w:rPr>
      </w:pPr>
      <w:proofErr w:type="spellStart"/>
      <w:r w:rsidRPr="003D069B">
        <w:rPr>
          <w:rFonts w:ascii="Arial" w:hAnsi="Arial" w:cs="Arial"/>
          <w:sz w:val="24"/>
          <w:szCs w:val="24"/>
          <w:lang w:val="en-US"/>
        </w:rPr>
        <w:t>Pavan</w:t>
      </w:r>
      <w:proofErr w:type="spellEnd"/>
      <w:r w:rsidRPr="003D069B">
        <w:rPr>
          <w:rFonts w:ascii="Arial" w:hAnsi="Arial" w:cs="Arial"/>
          <w:sz w:val="24"/>
          <w:szCs w:val="24"/>
          <w:lang w:val="en-US"/>
        </w:rPr>
        <w:t>-</w:t>
      </w:r>
      <w:r w:rsidR="00855543" w:rsidRPr="003D069B">
        <w:rPr>
          <w:rFonts w:ascii="Arial" w:hAnsi="Arial" w:cs="Arial"/>
          <w:sz w:val="24"/>
          <w:szCs w:val="24"/>
          <w:lang w:val="en-US"/>
        </w:rPr>
        <w:t xml:space="preserve">Kumar R, Ravi K.P, </w:t>
      </w:r>
      <w:proofErr w:type="spellStart"/>
      <w:r w:rsidR="00855543" w:rsidRPr="003D069B">
        <w:rPr>
          <w:rFonts w:ascii="Arial" w:hAnsi="Arial" w:cs="Arial"/>
          <w:sz w:val="24"/>
          <w:szCs w:val="24"/>
          <w:lang w:val="en-US"/>
        </w:rPr>
        <w:t>lakshmi</w:t>
      </w:r>
      <w:proofErr w:type="spellEnd"/>
      <w:r w:rsidRPr="003D069B">
        <w:rPr>
          <w:rFonts w:ascii="Arial" w:hAnsi="Arial" w:cs="Arial"/>
          <w:sz w:val="24"/>
          <w:szCs w:val="24"/>
          <w:lang w:val="en-US"/>
        </w:rPr>
        <w:t xml:space="preserve"> D</w:t>
      </w:r>
      <w:r w:rsidR="00855543" w:rsidRPr="003D069B">
        <w:rPr>
          <w:rFonts w:ascii="Arial" w:hAnsi="Arial" w:cs="Arial"/>
          <w:sz w:val="24"/>
          <w:szCs w:val="24"/>
          <w:lang w:val="en-US"/>
        </w:rPr>
        <w:t xml:space="preserve">, </w:t>
      </w:r>
      <w:proofErr w:type="spellStart"/>
      <w:r w:rsidR="00855543" w:rsidRPr="003D069B">
        <w:rPr>
          <w:rFonts w:ascii="Arial" w:hAnsi="Arial" w:cs="Arial"/>
          <w:sz w:val="24"/>
          <w:szCs w:val="24"/>
          <w:lang w:val="en-US"/>
        </w:rPr>
        <w:t>Annigeri</w:t>
      </w:r>
      <w:proofErr w:type="spellEnd"/>
      <w:r w:rsidRPr="003D069B">
        <w:rPr>
          <w:rFonts w:ascii="Arial" w:hAnsi="Arial" w:cs="Arial"/>
          <w:sz w:val="24"/>
          <w:szCs w:val="24"/>
          <w:lang w:val="en-US"/>
        </w:rPr>
        <w:t xml:space="preserve"> R</w:t>
      </w:r>
      <w:r w:rsidR="00855543" w:rsidRPr="003D069B">
        <w:rPr>
          <w:rFonts w:ascii="Arial" w:hAnsi="Arial" w:cs="Arial"/>
          <w:sz w:val="24"/>
          <w:szCs w:val="24"/>
          <w:lang w:val="en-US"/>
        </w:rPr>
        <w:t xml:space="preserve">, </w:t>
      </w:r>
      <w:proofErr w:type="spellStart"/>
      <w:r w:rsidR="00855543" w:rsidRPr="003D069B">
        <w:rPr>
          <w:rFonts w:ascii="Arial" w:hAnsi="Arial" w:cs="Arial"/>
          <w:sz w:val="24"/>
          <w:szCs w:val="24"/>
          <w:lang w:val="en-US"/>
        </w:rPr>
        <w:t>Ramakrishnan</w:t>
      </w:r>
      <w:proofErr w:type="spellEnd"/>
      <w:r w:rsidRPr="003D069B">
        <w:rPr>
          <w:rFonts w:ascii="Arial" w:hAnsi="Arial" w:cs="Arial"/>
          <w:sz w:val="24"/>
          <w:szCs w:val="24"/>
          <w:lang w:val="en-US"/>
        </w:rPr>
        <w:t xml:space="preserve"> M</w:t>
      </w:r>
      <w:r w:rsidR="00855543" w:rsidRPr="003D069B">
        <w:rPr>
          <w:rFonts w:ascii="Arial" w:hAnsi="Arial" w:cs="Arial"/>
          <w:sz w:val="24"/>
          <w:szCs w:val="24"/>
          <w:lang w:val="en-US"/>
        </w:rPr>
        <w:t xml:space="preserve">, </w:t>
      </w:r>
      <w:proofErr w:type="spellStart"/>
      <w:r w:rsidR="00855543" w:rsidRPr="003D069B">
        <w:rPr>
          <w:rFonts w:ascii="Arial" w:hAnsi="Arial" w:cs="Arial"/>
          <w:sz w:val="24"/>
          <w:szCs w:val="24"/>
          <w:lang w:val="en-US"/>
        </w:rPr>
        <w:t>Venkataraman</w:t>
      </w:r>
      <w:proofErr w:type="spellEnd"/>
      <w:r w:rsidRPr="003D069B">
        <w:rPr>
          <w:rFonts w:ascii="Arial" w:hAnsi="Arial" w:cs="Arial"/>
          <w:sz w:val="24"/>
          <w:szCs w:val="24"/>
          <w:lang w:val="en-US"/>
        </w:rPr>
        <w:t xml:space="preserve"> R</w:t>
      </w:r>
      <w:r w:rsidR="00855543" w:rsidRPr="003D069B">
        <w:rPr>
          <w:rFonts w:ascii="Arial" w:hAnsi="Arial" w:cs="Arial"/>
          <w:sz w:val="24"/>
          <w:szCs w:val="24"/>
          <w:lang w:val="en-US"/>
        </w:rPr>
        <w:t xml:space="preserve">. Epidemiology, outcomes and validation of RIFLE and AKIN </w:t>
      </w:r>
      <w:r w:rsidR="00855543" w:rsidRPr="003D069B">
        <w:rPr>
          <w:rFonts w:ascii="Arial" w:hAnsi="Arial" w:cs="Arial"/>
          <w:sz w:val="24"/>
          <w:szCs w:val="24"/>
          <w:lang w:val="en-US"/>
        </w:rPr>
        <w:lastRenderedPageBreak/>
        <w:t xml:space="preserve">criteria in acute kidney injury (AKI) in critically ill patients: Indian perspective. </w:t>
      </w:r>
      <w:proofErr w:type="spellStart"/>
      <w:r w:rsidR="00855543" w:rsidRPr="003D069B">
        <w:rPr>
          <w:rFonts w:ascii="Arial" w:hAnsi="Arial" w:cs="Arial"/>
          <w:sz w:val="24"/>
          <w:szCs w:val="24"/>
          <w:lang w:val="en-US"/>
        </w:rPr>
        <w:t>Ren</w:t>
      </w:r>
      <w:proofErr w:type="spellEnd"/>
      <w:r w:rsidR="00855543" w:rsidRPr="003D069B">
        <w:rPr>
          <w:rFonts w:ascii="Arial" w:hAnsi="Arial" w:cs="Arial"/>
          <w:sz w:val="24"/>
          <w:szCs w:val="24"/>
          <w:lang w:val="en-US"/>
        </w:rPr>
        <w:t xml:space="preserve"> Fail, 20</w:t>
      </w:r>
      <w:r w:rsidR="000E5F31">
        <w:rPr>
          <w:rFonts w:ascii="Arial" w:hAnsi="Arial" w:cs="Arial"/>
          <w:sz w:val="24"/>
          <w:szCs w:val="24"/>
          <w:lang w:val="en-US"/>
        </w:rPr>
        <w:t>20</w:t>
      </w:r>
      <w:r w:rsidR="00855543" w:rsidRPr="003D069B">
        <w:rPr>
          <w:rFonts w:ascii="Arial" w:hAnsi="Arial" w:cs="Arial"/>
          <w:sz w:val="24"/>
          <w:szCs w:val="24"/>
          <w:lang w:val="en-US"/>
        </w:rPr>
        <w:t>; 36(6): 831–837</w:t>
      </w:r>
    </w:p>
    <w:p w:rsidR="00855543" w:rsidRPr="003D069B" w:rsidRDefault="008937B3" w:rsidP="00855543">
      <w:pPr>
        <w:pStyle w:val="Prrafodelista"/>
        <w:numPr>
          <w:ilvl w:val="0"/>
          <w:numId w:val="10"/>
        </w:numPr>
        <w:spacing w:after="160" w:line="360" w:lineRule="auto"/>
        <w:ind w:left="284" w:hanging="284"/>
        <w:jc w:val="both"/>
        <w:rPr>
          <w:rFonts w:ascii="Arial" w:hAnsi="Arial" w:cs="Arial"/>
          <w:sz w:val="24"/>
          <w:szCs w:val="24"/>
          <w:lang w:val="en-US"/>
        </w:rPr>
      </w:pPr>
      <w:proofErr w:type="spellStart"/>
      <w:r w:rsidRPr="003D069B">
        <w:rPr>
          <w:rFonts w:ascii="Arial" w:hAnsi="Arial" w:cs="Arial"/>
          <w:sz w:val="24"/>
          <w:szCs w:val="24"/>
          <w:lang w:val="en-US"/>
        </w:rPr>
        <w:t>Orhan</w:t>
      </w:r>
      <w:proofErr w:type="spellEnd"/>
      <w:r w:rsidRPr="003D069B">
        <w:rPr>
          <w:rFonts w:ascii="Arial" w:hAnsi="Arial" w:cs="Arial"/>
          <w:sz w:val="24"/>
          <w:szCs w:val="24"/>
          <w:lang w:val="en-US"/>
        </w:rPr>
        <w:t>-</w:t>
      </w:r>
      <w:r w:rsidR="00855543" w:rsidRPr="003D069B">
        <w:rPr>
          <w:rFonts w:ascii="Arial" w:hAnsi="Arial" w:cs="Arial"/>
          <w:sz w:val="24"/>
          <w:szCs w:val="24"/>
          <w:lang w:val="en-US"/>
        </w:rPr>
        <w:t>Kara</w:t>
      </w:r>
      <w:r w:rsidRPr="003D069B">
        <w:rPr>
          <w:rFonts w:ascii="Arial" w:hAnsi="Arial" w:cs="Arial"/>
          <w:sz w:val="24"/>
          <w:szCs w:val="24"/>
          <w:lang w:val="en-US"/>
        </w:rPr>
        <w:t xml:space="preserve"> D</w:t>
      </w:r>
      <w:r w:rsidR="00855543" w:rsidRPr="003D069B">
        <w:rPr>
          <w:rFonts w:ascii="Arial" w:hAnsi="Arial" w:cs="Arial"/>
          <w:sz w:val="24"/>
          <w:szCs w:val="24"/>
          <w:lang w:val="en-US"/>
        </w:rPr>
        <w:t xml:space="preserve">, </w:t>
      </w:r>
      <w:proofErr w:type="spellStart"/>
      <w:r w:rsidR="00855543" w:rsidRPr="003D069B">
        <w:rPr>
          <w:rFonts w:ascii="Arial" w:hAnsi="Arial" w:cs="Arial"/>
          <w:sz w:val="24"/>
          <w:szCs w:val="24"/>
          <w:lang w:val="en-US"/>
        </w:rPr>
        <w:t>Dincel</w:t>
      </w:r>
      <w:proofErr w:type="spellEnd"/>
      <w:r w:rsidRPr="003D069B">
        <w:rPr>
          <w:rFonts w:ascii="Arial" w:hAnsi="Arial" w:cs="Arial"/>
          <w:sz w:val="24"/>
          <w:szCs w:val="24"/>
          <w:lang w:val="en-US"/>
        </w:rPr>
        <w:t xml:space="preserve"> N, </w:t>
      </w:r>
      <w:proofErr w:type="spellStart"/>
      <w:r w:rsidRPr="003D069B">
        <w:rPr>
          <w:rFonts w:ascii="Arial" w:hAnsi="Arial" w:cs="Arial"/>
          <w:sz w:val="24"/>
          <w:szCs w:val="24"/>
          <w:lang w:val="en-US"/>
        </w:rPr>
        <w:t>Ipek-</w:t>
      </w:r>
      <w:r w:rsidR="00855543" w:rsidRPr="003D069B">
        <w:rPr>
          <w:rFonts w:ascii="Arial" w:hAnsi="Arial" w:cs="Arial"/>
          <w:sz w:val="24"/>
          <w:szCs w:val="24"/>
          <w:lang w:val="en-US"/>
        </w:rPr>
        <w:t>Bulut</w:t>
      </w:r>
      <w:proofErr w:type="spellEnd"/>
      <w:r w:rsidRPr="003D069B">
        <w:rPr>
          <w:rFonts w:ascii="Arial" w:hAnsi="Arial" w:cs="Arial"/>
          <w:sz w:val="24"/>
          <w:szCs w:val="24"/>
          <w:lang w:val="en-US"/>
        </w:rPr>
        <w:t xml:space="preserve"> K</w:t>
      </w:r>
      <w:r w:rsidR="00855543" w:rsidRPr="003D069B">
        <w:rPr>
          <w:rFonts w:ascii="Arial" w:hAnsi="Arial" w:cs="Arial"/>
          <w:sz w:val="24"/>
          <w:szCs w:val="24"/>
          <w:lang w:val="en-US"/>
        </w:rPr>
        <w:t xml:space="preserve">, </w:t>
      </w:r>
      <w:proofErr w:type="spellStart"/>
      <w:r w:rsidR="00855543" w:rsidRPr="003D069B">
        <w:rPr>
          <w:rFonts w:ascii="Arial" w:hAnsi="Arial" w:cs="Arial"/>
          <w:sz w:val="24"/>
          <w:szCs w:val="24"/>
          <w:lang w:val="en-US"/>
        </w:rPr>
        <w:t>Yilmaz</w:t>
      </w:r>
      <w:proofErr w:type="spellEnd"/>
      <w:r w:rsidRPr="003D069B">
        <w:rPr>
          <w:rFonts w:ascii="Arial" w:hAnsi="Arial" w:cs="Arial"/>
          <w:sz w:val="24"/>
          <w:szCs w:val="24"/>
          <w:lang w:val="en-US"/>
        </w:rPr>
        <w:t xml:space="preserve"> E</w:t>
      </w:r>
      <w:r w:rsidR="00855543" w:rsidRPr="003D069B">
        <w:rPr>
          <w:rFonts w:ascii="Arial" w:hAnsi="Arial" w:cs="Arial"/>
          <w:sz w:val="24"/>
          <w:szCs w:val="24"/>
          <w:lang w:val="en-US"/>
        </w:rPr>
        <w:t xml:space="preserve">, </w:t>
      </w:r>
      <w:proofErr w:type="spellStart"/>
      <w:r w:rsidR="00855543" w:rsidRPr="003D069B">
        <w:rPr>
          <w:rFonts w:ascii="Arial" w:hAnsi="Arial" w:cs="Arial"/>
          <w:sz w:val="24"/>
          <w:szCs w:val="24"/>
          <w:lang w:val="en-US"/>
        </w:rPr>
        <w:t>Ozdemir</w:t>
      </w:r>
      <w:proofErr w:type="spellEnd"/>
      <w:r w:rsidRPr="003D069B">
        <w:rPr>
          <w:rFonts w:ascii="Arial" w:hAnsi="Arial" w:cs="Arial"/>
          <w:sz w:val="24"/>
          <w:szCs w:val="24"/>
          <w:lang w:val="en-US"/>
        </w:rPr>
        <w:t xml:space="preserve"> K</w:t>
      </w:r>
      <w:r w:rsidR="00855543" w:rsidRPr="003D069B">
        <w:rPr>
          <w:rFonts w:ascii="Arial" w:hAnsi="Arial" w:cs="Arial"/>
          <w:sz w:val="24"/>
          <w:szCs w:val="24"/>
          <w:lang w:val="en-US"/>
        </w:rPr>
        <w:t xml:space="preserve">, </w:t>
      </w:r>
      <w:proofErr w:type="spellStart"/>
      <w:r w:rsidR="00855543" w:rsidRPr="003D069B">
        <w:rPr>
          <w:rFonts w:ascii="Arial" w:hAnsi="Arial" w:cs="Arial"/>
          <w:sz w:val="24"/>
          <w:szCs w:val="24"/>
          <w:lang w:val="en-US"/>
        </w:rPr>
        <w:t>Gozuoglu</w:t>
      </w:r>
      <w:proofErr w:type="spellEnd"/>
      <w:r w:rsidRPr="003D069B">
        <w:rPr>
          <w:rFonts w:ascii="Arial" w:hAnsi="Arial" w:cs="Arial"/>
          <w:sz w:val="24"/>
          <w:szCs w:val="24"/>
          <w:lang w:val="en-US"/>
        </w:rPr>
        <w:t xml:space="preserve"> G</w:t>
      </w:r>
      <w:r w:rsidR="00855543" w:rsidRPr="003D069B">
        <w:rPr>
          <w:rFonts w:ascii="Arial" w:hAnsi="Arial" w:cs="Arial"/>
          <w:sz w:val="24"/>
          <w:szCs w:val="24"/>
          <w:lang w:val="en-US"/>
        </w:rPr>
        <w:t xml:space="preserve">. Success of continuous </w:t>
      </w:r>
      <w:proofErr w:type="spellStart"/>
      <w:r w:rsidR="00855543" w:rsidRPr="003D069B">
        <w:rPr>
          <w:rFonts w:ascii="Arial" w:hAnsi="Arial" w:cs="Arial"/>
          <w:sz w:val="24"/>
          <w:szCs w:val="24"/>
          <w:lang w:val="en-US"/>
        </w:rPr>
        <w:t>veno</w:t>
      </w:r>
      <w:proofErr w:type="spellEnd"/>
      <w:r w:rsidR="00855543" w:rsidRPr="003D069B">
        <w:rPr>
          <w:rFonts w:ascii="Arial" w:hAnsi="Arial" w:cs="Arial"/>
          <w:sz w:val="24"/>
          <w:szCs w:val="24"/>
          <w:lang w:val="en-US"/>
        </w:rPr>
        <w:t xml:space="preserve">-venous </w:t>
      </w:r>
      <w:proofErr w:type="spellStart"/>
      <w:r w:rsidR="00855543" w:rsidRPr="003D069B">
        <w:rPr>
          <w:rFonts w:ascii="Arial" w:hAnsi="Arial" w:cs="Arial"/>
          <w:sz w:val="24"/>
          <w:szCs w:val="24"/>
          <w:lang w:val="en-US"/>
        </w:rPr>
        <w:t>hemodiafiltration</w:t>
      </w:r>
      <w:proofErr w:type="spellEnd"/>
      <w:r w:rsidR="00855543" w:rsidRPr="003D069B">
        <w:rPr>
          <w:rFonts w:ascii="Arial" w:hAnsi="Arial" w:cs="Arial"/>
          <w:sz w:val="24"/>
          <w:szCs w:val="24"/>
          <w:lang w:val="en-US"/>
        </w:rPr>
        <w:t xml:space="preserve"> treatment in children monitored in the intensive care units. </w:t>
      </w:r>
      <w:proofErr w:type="spellStart"/>
      <w:r w:rsidR="00855543" w:rsidRPr="003D069B">
        <w:rPr>
          <w:rFonts w:ascii="Arial" w:hAnsi="Arial" w:cs="Arial"/>
          <w:sz w:val="24"/>
          <w:szCs w:val="24"/>
          <w:lang w:val="en-US"/>
        </w:rPr>
        <w:t>Ren</w:t>
      </w:r>
      <w:proofErr w:type="spellEnd"/>
      <w:r w:rsidR="00855543" w:rsidRPr="003D069B">
        <w:rPr>
          <w:rFonts w:ascii="Arial" w:hAnsi="Arial" w:cs="Arial"/>
          <w:sz w:val="24"/>
          <w:szCs w:val="24"/>
          <w:lang w:val="en-US"/>
        </w:rPr>
        <w:t xml:space="preserve"> Fail, 20</w:t>
      </w:r>
      <w:r w:rsidR="000E5F31">
        <w:rPr>
          <w:rFonts w:ascii="Arial" w:hAnsi="Arial" w:cs="Arial"/>
          <w:sz w:val="24"/>
          <w:szCs w:val="24"/>
          <w:lang w:val="en-US"/>
        </w:rPr>
        <w:t>22</w:t>
      </w:r>
      <w:r w:rsidR="00855543" w:rsidRPr="003D069B">
        <w:rPr>
          <w:rFonts w:ascii="Arial" w:hAnsi="Arial" w:cs="Arial"/>
          <w:sz w:val="24"/>
          <w:szCs w:val="24"/>
          <w:lang w:val="en-US"/>
        </w:rPr>
        <w:t xml:space="preserve">; 36(9): 1411–1415 </w:t>
      </w:r>
      <w:hyperlink r:id="rId30" w:history="1">
        <w:r w:rsidR="00855543" w:rsidRPr="003D069B">
          <w:rPr>
            <w:rStyle w:val="Hipervnculo"/>
            <w:rFonts w:ascii="Arial" w:hAnsi="Arial" w:cs="Arial"/>
            <w:color w:val="auto"/>
            <w:sz w:val="24"/>
            <w:szCs w:val="24"/>
            <w:lang w:val="en-US"/>
          </w:rPr>
          <w:t>http://informahealthcare.com/rnf</w:t>
        </w:r>
      </w:hyperlink>
    </w:p>
    <w:p w:rsidR="00855543" w:rsidRPr="003D069B" w:rsidRDefault="007E3D5A" w:rsidP="00855543">
      <w:pPr>
        <w:pStyle w:val="Prrafodelista"/>
        <w:numPr>
          <w:ilvl w:val="0"/>
          <w:numId w:val="10"/>
        </w:numPr>
        <w:spacing w:after="160" w:line="360" w:lineRule="auto"/>
        <w:ind w:left="284" w:hanging="284"/>
        <w:jc w:val="both"/>
        <w:rPr>
          <w:rFonts w:ascii="Arial" w:hAnsi="Arial" w:cs="Arial"/>
          <w:sz w:val="24"/>
          <w:szCs w:val="24"/>
          <w:lang w:val="en-US"/>
        </w:rPr>
      </w:pPr>
      <w:proofErr w:type="spellStart"/>
      <w:r w:rsidRPr="003D069B">
        <w:rPr>
          <w:rFonts w:ascii="Arial" w:hAnsi="Arial" w:cs="Arial"/>
          <w:sz w:val="24"/>
          <w:szCs w:val="24"/>
          <w:lang w:val="en-US"/>
        </w:rPr>
        <w:t>Ballarin</w:t>
      </w:r>
      <w:proofErr w:type="spellEnd"/>
      <w:r w:rsidRPr="003D069B">
        <w:rPr>
          <w:rFonts w:ascii="Arial" w:hAnsi="Arial" w:cs="Arial"/>
          <w:sz w:val="24"/>
          <w:szCs w:val="24"/>
          <w:lang w:val="en-US"/>
        </w:rPr>
        <w:t>-</w:t>
      </w:r>
      <w:r w:rsidR="00855543" w:rsidRPr="003D069B">
        <w:rPr>
          <w:rFonts w:ascii="Arial" w:hAnsi="Arial" w:cs="Arial"/>
          <w:sz w:val="24"/>
          <w:szCs w:val="24"/>
          <w:lang w:val="en-US"/>
        </w:rPr>
        <w:t>Albino</w:t>
      </w:r>
      <w:r w:rsidRPr="003D069B">
        <w:rPr>
          <w:rFonts w:ascii="Arial" w:hAnsi="Arial" w:cs="Arial"/>
          <w:sz w:val="24"/>
          <w:szCs w:val="24"/>
          <w:lang w:val="en-US"/>
        </w:rPr>
        <w:t xml:space="preserve"> B, Luis-</w:t>
      </w:r>
      <w:proofErr w:type="spellStart"/>
      <w:r w:rsidR="00855543" w:rsidRPr="003D069B">
        <w:rPr>
          <w:rFonts w:ascii="Arial" w:hAnsi="Arial" w:cs="Arial"/>
          <w:sz w:val="24"/>
          <w:szCs w:val="24"/>
          <w:lang w:val="en-US"/>
        </w:rPr>
        <w:t>Balbi</w:t>
      </w:r>
      <w:proofErr w:type="spellEnd"/>
      <w:r w:rsidRPr="003D069B">
        <w:rPr>
          <w:rFonts w:ascii="Arial" w:hAnsi="Arial" w:cs="Arial"/>
          <w:sz w:val="24"/>
          <w:szCs w:val="24"/>
          <w:lang w:val="en-US"/>
        </w:rPr>
        <w:t xml:space="preserve"> A, Gera-</w:t>
      </w:r>
      <w:proofErr w:type="spellStart"/>
      <w:r w:rsidR="00855543" w:rsidRPr="003D069B">
        <w:rPr>
          <w:rFonts w:ascii="Arial" w:hAnsi="Arial" w:cs="Arial"/>
          <w:sz w:val="24"/>
          <w:szCs w:val="24"/>
          <w:lang w:val="en-US"/>
        </w:rPr>
        <w:t>Abrão</w:t>
      </w:r>
      <w:proofErr w:type="spellEnd"/>
      <w:r w:rsidRPr="003D069B">
        <w:rPr>
          <w:rFonts w:ascii="Arial" w:hAnsi="Arial" w:cs="Arial"/>
          <w:sz w:val="24"/>
          <w:szCs w:val="24"/>
          <w:lang w:val="en-US"/>
        </w:rPr>
        <w:t xml:space="preserve"> JM</w:t>
      </w:r>
      <w:r w:rsidR="00855543" w:rsidRPr="003D069B">
        <w:rPr>
          <w:rFonts w:ascii="Arial" w:hAnsi="Arial" w:cs="Arial"/>
          <w:sz w:val="24"/>
          <w:szCs w:val="24"/>
          <w:lang w:val="en-US"/>
        </w:rPr>
        <w:t xml:space="preserve">, </w:t>
      </w:r>
      <w:r w:rsidRPr="003D069B">
        <w:rPr>
          <w:rFonts w:ascii="Arial" w:hAnsi="Arial" w:cs="Arial"/>
          <w:sz w:val="24"/>
          <w:szCs w:val="24"/>
          <w:lang w:val="en-US"/>
        </w:rPr>
        <w:t>Hernando-</w:t>
      </w:r>
      <w:r w:rsidR="00855543" w:rsidRPr="003D069B">
        <w:rPr>
          <w:rFonts w:ascii="Arial" w:hAnsi="Arial" w:cs="Arial"/>
          <w:sz w:val="24"/>
          <w:szCs w:val="24"/>
          <w:lang w:val="en-US"/>
        </w:rPr>
        <w:t>Ponce</w:t>
      </w:r>
      <w:r w:rsidRPr="003D069B">
        <w:rPr>
          <w:rFonts w:ascii="Arial" w:hAnsi="Arial" w:cs="Arial"/>
          <w:sz w:val="24"/>
          <w:szCs w:val="24"/>
          <w:lang w:val="en-US"/>
        </w:rPr>
        <w:t xml:space="preserve"> D</w:t>
      </w:r>
      <w:r w:rsidR="00855543" w:rsidRPr="003D069B">
        <w:rPr>
          <w:rFonts w:ascii="Arial" w:hAnsi="Arial" w:cs="Arial"/>
          <w:sz w:val="24"/>
          <w:szCs w:val="24"/>
          <w:lang w:val="en-US"/>
        </w:rPr>
        <w:t xml:space="preserve">. Dialysis Complications in Acute Kidney Injury Patients Treated With Prolonged Intermittent Renal Replacement Therapy Sessions Lasting 10 Versus 6 Hours: Results of a Randomized Clinical Trial. </w:t>
      </w:r>
      <w:proofErr w:type="spellStart"/>
      <w:r w:rsidR="00855543" w:rsidRPr="003D069B">
        <w:rPr>
          <w:rFonts w:ascii="Arial" w:hAnsi="Arial" w:cs="Arial"/>
          <w:sz w:val="24"/>
          <w:szCs w:val="24"/>
          <w:lang w:val="en-US"/>
        </w:rPr>
        <w:t>Artiﬁcial</w:t>
      </w:r>
      <w:proofErr w:type="spellEnd"/>
      <w:r w:rsidR="00855543" w:rsidRPr="003D069B">
        <w:rPr>
          <w:rFonts w:ascii="Arial" w:hAnsi="Arial" w:cs="Arial"/>
          <w:sz w:val="24"/>
          <w:szCs w:val="24"/>
          <w:lang w:val="en-US"/>
        </w:rPr>
        <w:t xml:space="preserve"> Organs </w:t>
      </w:r>
      <w:r w:rsidR="000E5F31">
        <w:rPr>
          <w:rFonts w:ascii="Arial" w:hAnsi="Arial" w:cs="Arial"/>
          <w:sz w:val="24"/>
          <w:szCs w:val="24"/>
          <w:lang w:val="en-US"/>
        </w:rPr>
        <w:t>2022</w:t>
      </w:r>
      <w:r w:rsidR="00855543" w:rsidRPr="003D069B">
        <w:rPr>
          <w:rFonts w:ascii="Arial" w:hAnsi="Arial" w:cs="Arial"/>
          <w:sz w:val="24"/>
          <w:szCs w:val="24"/>
          <w:lang w:val="en-US"/>
        </w:rPr>
        <w:t>, 39(5):423–431</w:t>
      </w:r>
    </w:p>
    <w:p w:rsidR="007F23B6" w:rsidRPr="003D069B" w:rsidRDefault="007F23B6" w:rsidP="007F23B6">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Berni-</w:t>
      </w:r>
      <w:proofErr w:type="spellStart"/>
      <w:r w:rsidRPr="003D069B">
        <w:rPr>
          <w:rFonts w:ascii="Arial" w:hAnsi="Arial" w:cs="Arial"/>
          <w:sz w:val="24"/>
          <w:szCs w:val="24"/>
        </w:rPr>
        <w:t>Wennekers</w:t>
      </w:r>
      <w:proofErr w:type="spellEnd"/>
      <w:r w:rsidRPr="003D069B">
        <w:rPr>
          <w:rFonts w:ascii="Arial" w:hAnsi="Arial" w:cs="Arial"/>
          <w:sz w:val="24"/>
          <w:szCs w:val="24"/>
        </w:rPr>
        <w:t xml:space="preserve"> A, Martín-Azara MP, </w:t>
      </w:r>
      <w:proofErr w:type="spellStart"/>
      <w:r w:rsidRPr="003D069B">
        <w:rPr>
          <w:rFonts w:ascii="Arial" w:hAnsi="Arial" w:cs="Arial"/>
          <w:sz w:val="24"/>
          <w:szCs w:val="24"/>
        </w:rPr>
        <w:t>Dourdil-Sahun</w:t>
      </w:r>
      <w:proofErr w:type="spellEnd"/>
      <w:r w:rsidRPr="003D069B">
        <w:rPr>
          <w:rFonts w:ascii="Arial" w:hAnsi="Arial" w:cs="Arial"/>
          <w:sz w:val="24"/>
          <w:szCs w:val="24"/>
        </w:rPr>
        <w:t xml:space="preserve"> V, </w:t>
      </w:r>
      <w:proofErr w:type="spellStart"/>
      <w:r w:rsidRPr="003D069B">
        <w:rPr>
          <w:rFonts w:ascii="Arial" w:hAnsi="Arial" w:cs="Arial"/>
          <w:sz w:val="24"/>
          <w:szCs w:val="24"/>
        </w:rPr>
        <w:t>Bergasa</w:t>
      </w:r>
      <w:proofErr w:type="spellEnd"/>
      <w:r w:rsidRPr="003D069B">
        <w:rPr>
          <w:rFonts w:ascii="Arial" w:hAnsi="Arial" w:cs="Arial"/>
          <w:sz w:val="24"/>
          <w:szCs w:val="24"/>
        </w:rPr>
        <w:t>-Liberal B, Ruiz-</w:t>
      </w:r>
      <w:proofErr w:type="spellStart"/>
      <w:r w:rsidRPr="003D069B">
        <w:rPr>
          <w:rFonts w:ascii="Arial" w:hAnsi="Arial" w:cs="Arial"/>
          <w:sz w:val="24"/>
          <w:szCs w:val="24"/>
        </w:rPr>
        <w:t>Laiglesia</w:t>
      </w:r>
      <w:proofErr w:type="spellEnd"/>
      <w:r w:rsidRPr="003D069B">
        <w:rPr>
          <w:rFonts w:ascii="Arial" w:hAnsi="Arial" w:cs="Arial"/>
          <w:sz w:val="24"/>
          <w:szCs w:val="24"/>
        </w:rPr>
        <w:t xml:space="preserve"> JE, Vernet-Perna P, et al. Trece tratamientos de la insuﬁciencia renal aguda secundaria a mieloma múltiple con </w:t>
      </w:r>
      <w:proofErr w:type="spellStart"/>
      <w:r w:rsidRPr="003D069B">
        <w:rPr>
          <w:rFonts w:ascii="Arial" w:hAnsi="Arial" w:cs="Arial"/>
          <w:sz w:val="24"/>
          <w:szCs w:val="24"/>
        </w:rPr>
        <w:t>ﬁltros</w:t>
      </w:r>
      <w:proofErr w:type="spellEnd"/>
      <w:r w:rsidRPr="003D069B">
        <w:rPr>
          <w:rFonts w:ascii="Arial" w:hAnsi="Arial" w:cs="Arial"/>
          <w:sz w:val="24"/>
          <w:szCs w:val="24"/>
        </w:rPr>
        <w:t xml:space="preserve"> de </w:t>
      </w:r>
      <w:proofErr w:type="spellStart"/>
      <w:r w:rsidRPr="003D069B">
        <w:rPr>
          <w:rFonts w:ascii="Arial" w:hAnsi="Arial" w:cs="Arial"/>
          <w:sz w:val="24"/>
          <w:szCs w:val="24"/>
        </w:rPr>
        <w:t>high</w:t>
      </w:r>
      <w:proofErr w:type="spellEnd"/>
      <w:r w:rsidRPr="003D069B">
        <w:rPr>
          <w:rFonts w:ascii="Arial" w:hAnsi="Arial" w:cs="Arial"/>
          <w:sz w:val="24"/>
          <w:szCs w:val="24"/>
        </w:rPr>
        <w:t xml:space="preserve"> </w:t>
      </w:r>
      <w:proofErr w:type="spellStart"/>
      <w:r w:rsidRPr="003D069B">
        <w:rPr>
          <w:rFonts w:ascii="Arial" w:hAnsi="Arial" w:cs="Arial"/>
          <w:sz w:val="24"/>
          <w:szCs w:val="24"/>
        </w:rPr>
        <w:t>cut</w:t>
      </w:r>
      <w:proofErr w:type="spellEnd"/>
      <w:r w:rsidRPr="003D069B">
        <w:rPr>
          <w:rFonts w:ascii="Arial" w:hAnsi="Arial" w:cs="Arial"/>
          <w:sz w:val="24"/>
          <w:szCs w:val="24"/>
        </w:rPr>
        <w:t xml:space="preserve"> off. </w:t>
      </w:r>
      <w:proofErr w:type="spellStart"/>
      <w:r w:rsidRPr="003D069B">
        <w:rPr>
          <w:rFonts w:ascii="Arial" w:hAnsi="Arial" w:cs="Arial"/>
          <w:sz w:val="24"/>
          <w:szCs w:val="24"/>
        </w:rPr>
        <w:t>Nefrologia</w:t>
      </w:r>
      <w:proofErr w:type="spellEnd"/>
      <w:r w:rsidRPr="003D069B">
        <w:rPr>
          <w:rFonts w:ascii="Arial" w:hAnsi="Arial" w:cs="Arial"/>
          <w:sz w:val="24"/>
          <w:szCs w:val="24"/>
        </w:rPr>
        <w:t xml:space="preserve"> 20</w:t>
      </w:r>
      <w:r w:rsidR="000E5F31">
        <w:rPr>
          <w:rFonts w:ascii="Arial" w:hAnsi="Arial" w:cs="Arial"/>
          <w:sz w:val="24"/>
          <w:szCs w:val="24"/>
        </w:rPr>
        <w:t>21</w:t>
      </w:r>
      <w:r w:rsidRPr="003D069B">
        <w:rPr>
          <w:rFonts w:ascii="Arial" w:hAnsi="Arial" w:cs="Arial"/>
          <w:sz w:val="24"/>
          <w:szCs w:val="24"/>
        </w:rPr>
        <w:t xml:space="preserve">;36(4):418–426 </w:t>
      </w:r>
      <w:hyperlink r:id="rId31" w:history="1">
        <w:r w:rsidRPr="003D069B">
          <w:rPr>
            <w:rStyle w:val="Hipervnculo"/>
            <w:rFonts w:ascii="Arial" w:hAnsi="Arial" w:cs="Arial"/>
            <w:color w:val="auto"/>
            <w:sz w:val="24"/>
            <w:szCs w:val="24"/>
          </w:rPr>
          <w:t>www.revistanefrologia.com</w:t>
        </w:r>
      </w:hyperlink>
    </w:p>
    <w:p w:rsidR="007F43FF" w:rsidRPr="003D069B" w:rsidRDefault="007F43FF" w:rsidP="007F43FF">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Borrego-García E, Martín-Lagos Maldonado A, García-Castillo L, Ruiz-</w:t>
      </w:r>
      <w:proofErr w:type="spellStart"/>
      <w:r w:rsidRPr="003D069B">
        <w:rPr>
          <w:rFonts w:ascii="Arial" w:hAnsi="Arial" w:cs="Arial"/>
          <w:sz w:val="24"/>
          <w:szCs w:val="24"/>
        </w:rPr>
        <w:t>Sanch</w:t>
      </w:r>
      <w:proofErr w:type="spellEnd"/>
      <w:r w:rsidRPr="003D069B">
        <w:rPr>
          <w:rFonts w:ascii="Arial" w:hAnsi="Arial" w:cs="Arial"/>
          <w:sz w:val="24"/>
          <w:szCs w:val="24"/>
        </w:rPr>
        <w:t xml:space="preserve"> AL. Seguridad de los recambios plasmáticos terapéuticos en la lesión renal aguda secundaria a vasculitis. </w:t>
      </w:r>
      <w:proofErr w:type="spellStart"/>
      <w:r w:rsidRPr="003D069B">
        <w:rPr>
          <w:rFonts w:ascii="Arial" w:hAnsi="Arial" w:cs="Arial"/>
          <w:sz w:val="24"/>
          <w:szCs w:val="24"/>
        </w:rPr>
        <w:t>Nefrologia</w:t>
      </w:r>
      <w:proofErr w:type="spellEnd"/>
      <w:r w:rsidRPr="003D069B">
        <w:rPr>
          <w:rFonts w:ascii="Arial" w:hAnsi="Arial" w:cs="Arial"/>
          <w:sz w:val="24"/>
          <w:szCs w:val="24"/>
        </w:rPr>
        <w:t xml:space="preserve"> 20</w:t>
      </w:r>
      <w:r w:rsidR="000E5F31">
        <w:rPr>
          <w:rFonts w:ascii="Arial" w:hAnsi="Arial" w:cs="Arial"/>
          <w:sz w:val="24"/>
          <w:szCs w:val="24"/>
        </w:rPr>
        <w:t>20</w:t>
      </w:r>
      <w:r w:rsidRPr="003D069B">
        <w:rPr>
          <w:rFonts w:ascii="Arial" w:hAnsi="Arial" w:cs="Arial"/>
          <w:sz w:val="24"/>
          <w:szCs w:val="24"/>
        </w:rPr>
        <w:t>,38(5):558-572</w:t>
      </w:r>
    </w:p>
    <w:p w:rsidR="00DB4AF7" w:rsidRPr="003D069B" w:rsidRDefault="00DB4AF7" w:rsidP="00DB4AF7">
      <w:pPr>
        <w:pStyle w:val="Prrafodelista"/>
        <w:numPr>
          <w:ilvl w:val="0"/>
          <w:numId w:val="10"/>
        </w:numPr>
        <w:spacing w:line="360" w:lineRule="auto"/>
        <w:jc w:val="both"/>
        <w:rPr>
          <w:rFonts w:ascii="Arial" w:hAnsi="Arial" w:cs="Arial"/>
          <w:sz w:val="24"/>
          <w:szCs w:val="24"/>
          <w:lang w:val="en-US"/>
        </w:rPr>
      </w:pPr>
      <w:proofErr w:type="spellStart"/>
      <w:r w:rsidRPr="003D069B">
        <w:rPr>
          <w:rFonts w:ascii="Arial" w:hAnsi="Arial" w:cs="Arial"/>
          <w:sz w:val="24"/>
          <w:szCs w:val="24"/>
        </w:rPr>
        <w:t>Zafrani</w:t>
      </w:r>
      <w:proofErr w:type="spellEnd"/>
      <w:r w:rsidRPr="003D069B">
        <w:rPr>
          <w:rFonts w:ascii="Arial" w:hAnsi="Arial" w:cs="Arial"/>
          <w:sz w:val="24"/>
          <w:szCs w:val="24"/>
        </w:rPr>
        <w:t xml:space="preserve"> L, </w:t>
      </w:r>
      <w:proofErr w:type="spellStart"/>
      <w:r w:rsidRPr="003D069B">
        <w:rPr>
          <w:rFonts w:ascii="Arial" w:hAnsi="Arial" w:cs="Arial"/>
          <w:sz w:val="24"/>
          <w:szCs w:val="24"/>
        </w:rPr>
        <w:t>Mariotte</w:t>
      </w:r>
      <w:proofErr w:type="spellEnd"/>
      <w:r w:rsidRPr="003D069B">
        <w:rPr>
          <w:rFonts w:ascii="Arial" w:hAnsi="Arial" w:cs="Arial"/>
          <w:sz w:val="24"/>
          <w:szCs w:val="24"/>
        </w:rPr>
        <w:t xml:space="preserve"> E, </w:t>
      </w:r>
      <w:proofErr w:type="spellStart"/>
      <w:r w:rsidRPr="003D069B">
        <w:rPr>
          <w:rFonts w:ascii="Arial" w:hAnsi="Arial" w:cs="Arial"/>
          <w:sz w:val="24"/>
          <w:szCs w:val="24"/>
        </w:rPr>
        <w:t>Darmon</w:t>
      </w:r>
      <w:proofErr w:type="spellEnd"/>
      <w:r w:rsidRPr="003D069B">
        <w:rPr>
          <w:rFonts w:ascii="Arial" w:hAnsi="Arial" w:cs="Arial"/>
          <w:sz w:val="24"/>
          <w:szCs w:val="24"/>
        </w:rPr>
        <w:t xml:space="preserve"> M, </w:t>
      </w:r>
      <w:proofErr w:type="spellStart"/>
      <w:r w:rsidRPr="003D069B">
        <w:rPr>
          <w:rFonts w:ascii="Arial" w:hAnsi="Arial" w:cs="Arial"/>
          <w:sz w:val="24"/>
          <w:szCs w:val="24"/>
        </w:rPr>
        <w:t>Canet</w:t>
      </w:r>
      <w:proofErr w:type="spellEnd"/>
      <w:r w:rsidRPr="003D069B">
        <w:rPr>
          <w:rFonts w:ascii="Arial" w:hAnsi="Arial" w:cs="Arial"/>
          <w:sz w:val="24"/>
          <w:szCs w:val="24"/>
        </w:rPr>
        <w:t xml:space="preserve"> E, </w:t>
      </w:r>
      <w:proofErr w:type="spellStart"/>
      <w:r w:rsidRPr="003D069B">
        <w:rPr>
          <w:rFonts w:ascii="Arial" w:hAnsi="Arial" w:cs="Arial"/>
          <w:sz w:val="24"/>
          <w:szCs w:val="24"/>
        </w:rPr>
        <w:t>Merceron</w:t>
      </w:r>
      <w:proofErr w:type="spellEnd"/>
      <w:r w:rsidRPr="003D069B">
        <w:rPr>
          <w:rFonts w:ascii="Arial" w:hAnsi="Arial" w:cs="Arial"/>
          <w:sz w:val="24"/>
          <w:szCs w:val="24"/>
        </w:rPr>
        <w:t xml:space="preserve"> S, </w:t>
      </w:r>
      <w:proofErr w:type="spellStart"/>
      <w:r w:rsidRPr="003D069B">
        <w:rPr>
          <w:rFonts w:ascii="Arial" w:hAnsi="Arial" w:cs="Arial"/>
          <w:sz w:val="24"/>
          <w:szCs w:val="24"/>
        </w:rPr>
        <w:t>Azoulay</w:t>
      </w:r>
      <w:proofErr w:type="spellEnd"/>
      <w:r w:rsidRPr="003D069B">
        <w:rPr>
          <w:rFonts w:ascii="Arial" w:hAnsi="Arial" w:cs="Arial"/>
          <w:sz w:val="24"/>
          <w:szCs w:val="24"/>
        </w:rPr>
        <w:t xml:space="preserve"> E, et al. </w:t>
      </w:r>
      <w:r w:rsidRPr="003D069B">
        <w:rPr>
          <w:rFonts w:ascii="Arial" w:hAnsi="Arial" w:cs="Arial"/>
          <w:sz w:val="24"/>
          <w:szCs w:val="24"/>
          <w:lang w:val="en-US"/>
        </w:rPr>
        <w:t xml:space="preserve">Acute renal failure is prevalent in patients with thrombotic thrombocytopenic </w:t>
      </w:r>
      <w:proofErr w:type="spellStart"/>
      <w:r w:rsidRPr="003D069B">
        <w:rPr>
          <w:rFonts w:ascii="Arial" w:hAnsi="Arial" w:cs="Arial"/>
          <w:sz w:val="24"/>
          <w:szCs w:val="24"/>
          <w:lang w:val="en-US"/>
        </w:rPr>
        <w:t>purpura</w:t>
      </w:r>
      <w:proofErr w:type="spellEnd"/>
      <w:r w:rsidRPr="003D069B">
        <w:rPr>
          <w:rFonts w:ascii="Arial" w:hAnsi="Arial" w:cs="Arial"/>
          <w:sz w:val="24"/>
          <w:szCs w:val="24"/>
          <w:lang w:val="en-US"/>
        </w:rPr>
        <w:t xml:space="preserve"> associated with low plasma ADAMTS13 activity. Journal Of Thrombosis And </w:t>
      </w:r>
      <w:proofErr w:type="spellStart"/>
      <w:r w:rsidRPr="003D069B">
        <w:rPr>
          <w:rFonts w:ascii="Arial" w:hAnsi="Arial" w:cs="Arial"/>
          <w:sz w:val="24"/>
          <w:szCs w:val="24"/>
          <w:lang w:val="en-US"/>
        </w:rPr>
        <w:t>Haemostasis</w:t>
      </w:r>
      <w:proofErr w:type="spellEnd"/>
      <w:r w:rsidRPr="003D069B">
        <w:rPr>
          <w:rFonts w:ascii="Arial" w:hAnsi="Arial" w:cs="Arial"/>
          <w:sz w:val="24"/>
          <w:szCs w:val="24"/>
          <w:lang w:val="en-US"/>
        </w:rPr>
        <w:t>: JTH [serial on the Internet]. (20</w:t>
      </w:r>
      <w:r w:rsidR="000E5F31">
        <w:rPr>
          <w:rFonts w:ascii="Arial" w:hAnsi="Arial" w:cs="Arial"/>
          <w:sz w:val="24"/>
          <w:szCs w:val="24"/>
          <w:lang w:val="en-US"/>
        </w:rPr>
        <w:t>22</w:t>
      </w:r>
      <w:r w:rsidRPr="003D069B">
        <w:rPr>
          <w:rFonts w:ascii="Arial" w:hAnsi="Arial" w:cs="Arial"/>
          <w:sz w:val="24"/>
          <w:szCs w:val="24"/>
          <w:lang w:val="en-US"/>
        </w:rPr>
        <w:t>, Mar), 2016]; 13(3): 380-389. Available from: MEDLINE Complete.</w:t>
      </w:r>
    </w:p>
    <w:p w:rsidR="00444FA7" w:rsidRPr="000E5F31" w:rsidRDefault="00444FA7" w:rsidP="000E5F31">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 xml:space="preserve">Castro-Serna D, Hernández-Sánchez M, Zamora-Cervantes L, Santamaría-Rodela T, López-Hernández MA. Asociación de insuficiencia renal aguda con mortalidad y complicaciones en pacientes hospitalizados con cirrosis hepática. </w:t>
      </w:r>
      <w:proofErr w:type="spellStart"/>
      <w:r w:rsidRPr="003D069B">
        <w:rPr>
          <w:rFonts w:ascii="Arial" w:hAnsi="Arial" w:cs="Arial"/>
          <w:sz w:val="24"/>
          <w:szCs w:val="24"/>
        </w:rPr>
        <w:t>Med</w:t>
      </w:r>
      <w:proofErr w:type="spellEnd"/>
      <w:r w:rsidRPr="003D069B">
        <w:rPr>
          <w:rFonts w:ascii="Arial" w:hAnsi="Arial" w:cs="Arial"/>
          <w:sz w:val="24"/>
          <w:szCs w:val="24"/>
        </w:rPr>
        <w:t xml:space="preserve"> </w:t>
      </w:r>
      <w:proofErr w:type="spellStart"/>
      <w:r w:rsidRPr="003D069B">
        <w:rPr>
          <w:rFonts w:ascii="Arial" w:hAnsi="Arial" w:cs="Arial"/>
          <w:sz w:val="24"/>
          <w:szCs w:val="24"/>
        </w:rPr>
        <w:t>Int</w:t>
      </w:r>
      <w:proofErr w:type="spellEnd"/>
      <w:r w:rsidRPr="003D069B">
        <w:rPr>
          <w:rFonts w:ascii="Arial" w:hAnsi="Arial" w:cs="Arial"/>
          <w:sz w:val="24"/>
          <w:szCs w:val="24"/>
        </w:rPr>
        <w:t xml:space="preserve"> </w:t>
      </w:r>
      <w:proofErr w:type="spellStart"/>
      <w:r w:rsidRPr="003D069B">
        <w:rPr>
          <w:rFonts w:ascii="Arial" w:hAnsi="Arial" w:cs="Arial"/>
          <w:sz w:val="24"/>
          <w:szCs w:val="24"/>
        </w:rPr>
        <w:t>Méx</w:t>
      </w:r>
      <w:proofErr w:type="spellEnd"/>
      <w:r w:rsidRPr="003D069B">
        <w:rPr>
          <w:rFonts w:ascii="Arial" w:hAnsi="Arial" w:cs="Arial"/>
          <w:sz w:val="24"/>
          <w:szCs w:val="24"/>
        </w:rPr>
        <w:t>. 2017 enero</w:t>
      </w:r>
      <w:proofErr w:type="gramStart"/>
      <w:r w:rsidRPr="003D069B">
        <w:rPr>
          <w:rFonts w:ascii="Arial" w:hAnsi="Arial" w:cs="Arial"/>
          <w:sz w:val="24"/>
          <w:szCs w:val="24"/>
        </w:rPr>
        <w:t>;33</w:t>
      </w:r>
      <w:proofErr w:type="gramEnd"/>
      <w:r w:rsidRPr="003D069B">
        <w:rPr>
          <w:rFonts w:ascii="Arial" w:hAnsi="Arial" w:cs="Arial"/>
          <w:sz w:val="24"/>
          <w:szCs w:val="24"/>
        </w:rPr>
        <w:t xml:space="preserve">(1):41-47. </w:t>
      </w:r>
      <w:hyperlink r:id="rId32" w:history="1">
        <w:r w:rsidRPr="003D069B">
          <w:rPr>
            <w:rStyle w:val="Hipervnculo"/>
            <w:rFonts w:ascii="Arial" w:hAnsi="Arial" w:cs="Arial"/>
            <w:color w:val="auto"/>
            <w:sz w:val="24"/>
            <w:szCs w:val="24"/>
          </w:rPr>
          <w:t>www.medicinainterna.org.mx</w:t>
        </w:r>
      </w:hyperlink>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proofErr w:type="spellStart"/>
      <w:r w:rsidRPr="003D069B">
        <w:rPr>
          <w:rFonts w:ascii="Arial" w:hAnsi="Arial" w:cs="Arial"/>
          <w:sz w:val="24"/>
          <w:szCs w:val="24"/>
        </w:rPr>
        <w:t>Lluncor</w:t>
      </w:r>
      <w:proofErr w:type="spellEnd"/>
      <w:r w:rsidR="00C05076" w:rsidRPr="003D069B">
        <w:rPr>
          <w:rFonts w:ascii="Arial" w:hAnsi="Arial" w:cs="Arial"/>
          <w:sz w:val="24"/>
          <w:szCs w:val="24"/>
        </w:rPr>
        <w:t xml:space="preserve"> J</w:t>
      </w:r>
      <w:r w:rsidRPr="003D069B">
        <w:rPr>
          <w:rFonts w:ascii="Arial" w:hAnsi="Arial" w:cs="Arial"/>
          <w:sz w:val="24"/>
          <w:szCs w:val="24"/>
        </w:rPr>
        <w:t>, Cruz-Encarnación</w:t>
      </w:r>
      <w:r w:rsidR="00C05076" w:rsidRPr="003D069B">
        <w:rPr>
          <w:rFonts w:ascii="Arial" w:hAnsi="Arial" w:cs="Arial"/>
          <w:sz w:val="24"/>
          <w:szCs w:val="24"/>
        </w:rPr>
        <w:t xml:space="preserve"> M</w:t>
      </w:r>
      <w:r w:rsidRPr="003D069B">
        <w:rPr>
          <w:rFonts w:ascii="Arial" w:hAnsi="Arial" w:cs="Arial"/>
          <w:sz w:val="24"/>
          <w:szCs w:val="24"/>
        </w:rPr>
        <w:t>, Cieza</w:t>
      </w:r>
      <w:r w:rsidR="00C05076" w:rsidRPr="003D069B">
        <w:rPr>
          <w:rFonts w:ascii="Arial" w:hAnsi="Arial" w:cs="Arial"/>
          <w:sz w:val="24"/>
          <w:szCs w:val="24"/>
        </w:rPr>
        <w:t xml:space="preserve"> J</w:t>
      </w:r>
      <w:r w:rsidRPr="003D069B">
        <w:rPr>
          <w:rFonts w:ascii="Arial" w:hAnsi="Arial" w:cs="Arial"/>
          <w:sz w:val="24"/>
          <w:szCs w:val="24"/>
        </w:rPr>
        <w:t xml:space="preserve">. Factores asociados a injuria renal aguda en pacientes incidentes de un hospital general de Lima- Perú. </w:t>
      </w:r>
      <w:proofErr w:type="spellStart"/>
      <w:r w:rsidRPr="003D069B">
        <w:rPr>
          <w:rFonts w:ascii="Arial" w:hAnsi="Arial" w:cs="Arial"/>
          <w:sz w:val="24"/>
          <w:szCs w:val="24"/>
        </w:rPr>
        <w:t>Rev</w:t>
      </w:r>
      <w:proofErr w:type="spellEnd"/>
      <w:r w:rsidRPr="003D069B">
        <w:rPr>
          <w:rFonts w:ascii="Arial" w:hAnsi="Arial" w:cs="Arial"/>
          <w:sz w:val="24"/>
          <w:szCs w:val="24"/>
        </w:rPr>
        <w:t xml:space="preserve"> </w:t>
      </w:r>
      <w:proofErr w:type="spellStart"/>
      <w:r w:rsidRPr="003D069B">
        <w:rPr>
          <w:rFonts w:ascii="Arial" w:hAnsi="Arial" w:cs="Arial"/>
          <w:sz w:val="24"/>
          <w:szCs w:val="24"/>
        </w:rPr>
        <w:t>Med</w:t>
      </w:r>
      <w:proofErr w:type="spellEnd"/>
      <w:r w:rsidRPr="003D069B">
        <w:rPr>
          <w:rFonts w:ascii="Arial" w:hAnsi="Arial" w:cs="Arial"/>
          <w:sz w:val="24"/>
          <w:szCs w:val="24"/>
        </w:rPr>
        <w:t xml:space="preserve"> </w:t>
      </w:r>
      <w:proofErr w:type="spellStart"/>
      <w:r w:rsidRPr="003D069B">
        <w:rPr>
          <w:rFonts w:ascii="Arial" w:hAnsi="Arial" w:cs="Arial"/>
          <w:sz w:val="24"/>
          <w:szCs w:val="24"/>
        </w:rPr>
        <w:t>Hered</w:t>
      </w:r>
      <w:proofErr w:type="spellEnd"/>
      <w:r w:rsidRPr="003D069B">
        <w:rPr>
          <w:rFonts w:ascii="Arial" w:hAnsi="Arial" w:cs="Arial"/>
          <w:sz w:val="24"/>
          <w:szCs w:val="24"/>
        </w:rPr>
        <w:t>. 201</w:t>
      </w:r>
      <w:r w:rsidR="000E5F31">
        <w:rPr>
          <w:rFonts w:ascii="Arial" w:hAnsi="Arial" w:cs="Arial"/>
          <w:sz w:val="24"/>
          <w:szCs w:val="24"/>
        </w:rPr>
        <w:t>9</w:t>
      </w:r>
      <w:r w:rsidRPr="003D069B">
        <w:rPr>
          <w:rFonts w:ascii="Arial" w:hAnsi="Arial" w:cs="Arial"/>
          <w:sz w:val="24"/>
          <w:szCs w:val="24"/>
        </w:rPr>
        <w:t>; 26:24-30.</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r w:rsidRPr="003D069B">
        <w:rPr>
          <w:rFonts w:ascii="Arial" w:hAnsi="Arial" w:cs="Arial"/>
          <w:sz w:val="24"/>
          <w:szCs w:val="24"/>
          <w:lang w:val="en-US"/>
        </w:rPr>
        <w:lastRenderedPageBreak/>
        <w:t>Johnson</w:t>
      </w:r>
      <w:r w:rsidR="005E152A" w:rsidRPr="003D069B">
        <w:rPr>
          <w:rFonts w:ascii="Arial" w:hAnsi="Arial" w:cs="Arial"/>
          <w:sz w:val="24"/>
          <w:szCs w:val="24"/>
          <w:lang w:val="en-US"/>
        </w:rPr>
        <w:t xml:space="preserve"> R, </w:t>
      </w:r>
      <w:proofErr w:type="spellStart"/>
      <w:r w:rsidRPr="003D069B">
        <w:rPr>
          <w:rFonts w:ascii="Arial" w:hAnsi="Arial" w:cs="Arial"/>
          <w:sz w:val="24"/>
          <w:szCs w:val="24"/>
          <w:lang w:val="en-US"/>
        </w:rPr>
        <w:t>Gustin</w:t>
      </w:r>
      <w:proofErr w:type="spellEnd"/>
      <w:r w:rsidR="005E152A" w:rsidRPr="003D069B">
        <w:rPr>
          <w:rFonts w:ascii="Arial" w:hAnsi="Arial" w:cs="Arial"/>
          <w:sz w:val="24"/>
          <w:szCs w:val="24"/>
          <w:lang w:val="en-US"/>
        </w:rPr>
        <w:t xml:space="preserve"> J</w:t>
      </w:r>
      <w:r w:rsidRPr="003D069B">
        <w:rPr>
          <w:rFonts w:ascii="Arial" w:hAnsi="Arial" w:cs="Arial"/>
          <w:sz w:val="24"/>
          <w:szCs w:val="24"/>
          <w:lang w:val="en-US"/>
        </w:rPr>
        <w:t>. Acute Renal Failure Requiring Renal Replacement Therapy in the Intensive Care Unit: Impact on Prognostic Assessment for Shared Decision Making. 2011</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proofErr w:type="spellStart"/>
      <w:r w:rsidRPr="003D069B">
        <w:rPr>
          <w:rFonts w:ascii="Arial" w:hAnsi="Arial" w:cs="Arial"/>
          <w:sz w:val="24"/>
          <w:szCs w:val="24"/>
        </w:rPr>
        <w:t>Albinez</w:t>
      </w:r>
      <w:proofErr w:type="spellEnd"/>
      <w:r w:rsidRPr="003D069B">
        <w:rPr>
          <w:rFonts w:ascii="Arial" w:hAnsi="Arial" w:cs="Arial"/>
          <w:sz w:val="24"/>
          <w:szCs w:val="24"/>
        </w:rPr>
        <w:t xml:space="preserve"> Z, </w:t>
      </w:r>
      <w:proofErr w:type="spellStart"/>
      <w:r w:rsidRPr="003D069B">
        <w:rPr>
          <w:rFonts w:ascii="Arial" w:hAnsi="Arial" w:cs="Arial"/>
          <w:sz w:val="24"/>
          <w:szCs w:val="24"/>
        </w:rPr>
        <w:t>Suberviola</w:t>
      </w:r>
      <w:proofErr w:type="spellEnd"/>
      <w:r w:rsidRPr="003D069B">
        <w:rPr>
          <w:rFonts w:ascii="Arial" w:hAnsi="Arial" w:cs="Arial"/>
          <w:sz w:val="24"/>
          <w:szCs w:val="24"/>
        </w:rPr>
        <w:t xml:space="preserve"> B, Rodrigo E, </w:t>
      </w:r>
      <w:proofErr w:type="gramStart"/>
      <w:r w:rsidRPr="003D069B">
        <w:rPr>
          <w:rFonts w:ascii="Arial" w:hAnsi="Arial" w:cs="Arial"/>
          <w:sz w:val="24"/>
          <w:szCs w:val="24"/>
        </w:rPr>
        <w:t>Castellanos</w:t>
      </w:r>
      <w:proofErr w:type="gramEnd"/>
      <w:r w:rsidRPr="003D069B">
        <w:rPr>
          <w:rFonts w:ascii="Arial" w:hAnsi="Arial" w:cs="Arial"/>
          <w:sz w:val="24"/>
          <w:szCs w:val="24"/>
        </w:rPr>
        <w:t xml:space="preserve"> A, Heras M, </w:t>
      </w:r>
      <w:proofErr w:type="spellStart"/>
      <w:r w:rsidRPr="003D069B">
        <w:rPr>
          <w:rFonts w:ascii="Arial" w:hAnsi="Arial" w:cs="Arial"/>
          <w:sz w:val="24"/>
          <w:szCs w:val="24"/>
        </w:rPr>
        <w:t>Piñera</w:t>
      </w:r>
      <w:proofErr w:type="spellEnd"/>
      <w:r w:rsidRPr="003D069B">
        <w:rPr>
          <w:rFonts w:ascii="Arial" w:hAnsi="Arial" w:cs="Arial"/>
          <w:sz w:val="24"/>
          <w:szCs w:val="24"/>
        </w:rPr>
        <w:t xml:space="preserve"> C. Comparación del valor predictivo de mortalidad en el shock séptico entre distintas clasificaciones del fracaso renal agudo. Nefrologia 2014</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proofErr w:type="spellStart"/>
      <w:r w:rsidRPr="003D069B">
        <w:rPr>
          <w:rFonts w:ascii="Arial" w:hAnsi="Arial" w:cs="Arial"/>
          <w:sz w:val="24"/>
          <w:szCs w:val="24"/>
        </w:rPr>
        <w:t>Martinuzzi</w:t>
      </w:r>
      <w:proofErr w:type="spellEnd"/>
      <w:r w:rsidRPr="003D069B">
        <w:rPr>
          <w:rFonts w:ascii="Arial" w:hAnsi="Arial" w:cs="Arial"/>
          <w:sz w:val="24"/>
          <w:szCs w:val="24"/>
        </w:rPr>
        <w:t xml:space="preserve"> A, </w:t>
      </w:r>
      <w:proofErr w:type="spellStart"/>
      <w:r w:rsidRPr="003D069B">
        <w:rPr>
          <w:rFonts w:ascii="Arial" w:hAnsi="Arial" w:cs="Arial"/>
          <w:sz w:val="24"/>
          <w:szCs w:val="24"/>
        </w:rPr>
        <w:t>Ferraresi</w:t>
      </w:r>
      <w:proofErr w:type="spellEnd"/>
      <w:r w:rsidRPr="003D069B">
        <w:rPr>
          <w:rFonts w:ascii="Arial" w:hAnsi="Arial" w:cs="Arial"/>
          <w:sz w:val="24"/>
          <w:szCs w:val="24"/>
        </w:rPr>
        <w:t xml:space="preserve"> E, </w:t>
      </w:r>
      <w:proofErr w:type="spellStart"/>
      <w:r w:rsidRPr="003D069B">
        <w:rPr>
          <w:rFonts w:ascii="Arial" w:hAnsi="Arial" w:cs="Arial"/>
          <w:sz w:val="24"/>
          <w:szCs w:val="24"/>
        </w:rPr>
        <w:t>Orsatti</w:t>
      </w:r>
      <w:proofErr w:type="spellEnd"/>
      <w:r w:rsidRPr="003D069B">
        <w:rPr>
          <w:rFonts w:ascii="Arial" w:hAnsi="Arial" w:cs="Arial"/>
          <w:sz w:val="24"/>
          <w:szCs w:val="24"/>
        </w:rPr>
        <w:t xml:space="preserve"> M, </w:t>
      </w:r>
      <w:proofErr w:type="spellStart"/>
      <w:r w:rsidRPr="003D069B">
        <w:rPr>
          <w:rFonts w:ascii="Arial" w:hAnsi="Arial" w:cs="Arial"/>
          <w:sz w:val="24"/>
          <w:szCs w:val="24"/>
        </w:rPr>
        <w:t>Pal</w:t>
      </w:r>
      <w:r w:rsidR="003102EF" w:rsidRPr="003D069B">
        <w:rPr>
          <w:rFonts w:ascii="Arial" w:hAnsi="Arial" w:cs="Arial"/>
          <w:sz w:val="24"/>
          <w:szCs w:val="24"/>
        </w:rPr>
        <w:t>aoro</w:t>
      </w:r>
      <w:proofErr w:type="spellEnd"/>
      <w:r w:rsidR="003102EF" w:rsidRPr="003D069B">
        <w:rPr>
          <w:rFonts w:ascii="Arial" w:hAnsi="Arial" w:cs="Arial"/>
          <w:sz w:val="24"/>
          <w:szCs w:val="24"/>
        </w:rPr>
        <w:t xml:space="preserve"> A, Alcántara S, </w:t>
      </w:r>
      <w:proofErr w:type="spellStart"/>
      <w:r w:rsidR="003102EF" w:rsidRPr="003D069B">
        <w:rPr>
          <w:rFonts w:ascii="Arial" w:hAnsi="Arial" w:cs="Arial"/>
          <w:sz w:val="24"/>
          <w:szCs w:val="24"/>
        </w:rPr>
        <w:t>Corball</w:t>
      </w:r>
      <w:proofErr w:type="spellEnd"/>
      <w:r w:rsidR="003102EF" w:rsidRPr="003D069B">
        <w:rPr>
          <w:rFonts w:ascii="Arial" w:hAnsi="Arial" w:cs="Arial"/>
          <w:sz w:val="24"/>
          <w:szCs w:val="24"/>
        </w:rPr>
        <w:t xml:space="preserve"> A, et al. </w:t>
      </w:r>
      <w:r w:rsidRPr="003D069B">
        <w:rPr>
          <w:rFonts w:ascii="Arial" w:hAnsi="Arial" w:cs="Arial"/>
          <w:sz w:val="24"/>
          <w:szCs w:val="24"/>
        </w:rPr>
        <w:t>Sepsis e injuria renal aguda en una unidad de cuidados intensivos. Revista Cubana de Alimentación y Nutrición Volumen 24. Número 2 20</w:t>
      </w:r>
      <w:r w:rsidR="000E5F31">
        <w:rPr>
          <w:rFonts w:ascii="Arial" w:hAnsi="Arial" w:cs="Arial"/>
          <w:sz w:val="24"/>
          <w:szCs w:val="24"/>
        </w:rPr>
        <w:t>21</w:t>
      </w:r>
      <w:r w:rsidRPr="003D069B">
        <w:rPr>
          <w:rFonts w:ascii="Arial" w:hAnsi="Arial" w:cs="Arial"/>
          <w:sz w:val="24"/>
          <w:szCs w:val="24"/>
        </w:rPr>
        <w:t>(1):53-61</w:t>
      </w:r>
    </w:p>
    <w:p w:rsidR="00855543" w:rsidRPr="003D069B" w:rsidRDefault="00E64907"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García-</w:t>
      </w:r>
      <w:r w:rsidR="00855543" w:rsidRPr="003D069B">
        <w:rPr>
          <w:rFonts w:ascii="Arial" w:hAnsi="Arial" w:cs="Arial"/>
          <w:sz w:val="24"/>
          <w:szCs w:val="24"/>
        </w:rPr>
        <w:t>Arévalo</w:t>
      </w:r>
      <w:r w:rsidRPr="003D069B">
        <w:rPr>
          <w:rFonts w:ascii="Arial" w:hAnsi="Arial" w:cs="Arial"/>
          <w:sz w:val="24"/>
          <w:szCs w:val="24"/>
        </w:rPr>
        <w:t xml:space="preserve"> L, Santana-</w:t>
      </w:r>
      <w:proofErr w:type="spellStart"/>
      <w:r w:rsidR="00855543" w:rsidRPr="003D069B">
        <w:rPr>
          <w:rFonts w:ascii="Arial" w:hAnsi="Arial" w:cs="Arial"/>
          <w:sz w:val="24"/>
          <w:szCs w:val="24"/>
        </w:rPr>
        <w:t>Porbén</w:t>
      </w:r>
      <w:proofErr w:type="spellEnd"/>
      <w:r w:rsidRPr="003D069B">
        <w:rPr>
          <w:rFonts w:ascii="Arial" w:hAnsi="Arial" w:cs="Arial"/>
          <w:sz w:val="24"/>
          <w:szCs w:val="24"/>
        </w:rPr>
        <w:t xml:space="preserve"> S</w:t>
      </w:r>
      <w:r w:rsidR="00855543" w:rsidRPr="003D069B">
        <w:rPr>
          <w:rFonts w:ascii="Arial" w:hAnsi="Arial" w:cs="Arial"/>
          <w:sz w:val="24"/>
          <w:szCs w:val="24"/>
        </w:rPr>
        <w:t>. Excreción urinaria de nitrógeno ureico estimada del índice urea-creatinina ajustado según el peso corporal. Revista Cubana de Alimentación y Nutrición. Volumen 26. Número 1 (Enero – Junio del 201</w:t>
      </w:r>
      <w:r w:rsidR="000E5F31">
        <w:rPr>
          <w:rFonts w:ascii="Arial" w:hAnsi="Arial" w:cs="Arial"/>
          <w:sz w:val="24"/>
          <w:szCs w:val="24"/>
        </w:rPr>
        <w:t>9</w:t>
      </w:r>
      <w:r w:rsidR="00855543" w:rsidRPr="003D069B">
        <w:rPr>
          <w:rFonts w:ascii="Arial" w:hAnsi="Arial" w:cs="Arial"/>
          <w:sz w:val="24"/>
          <w:szCs w:val="24"/>
        </w:rPr>
        <w:t>):84-92</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Garc</w:t>
      </w:r>
      <w:r w:rsidR="00F07648" w:rsidRPr="003D069B">
        <w:rPr>
          <w:rFonts w:ascii="Arial" w:hAnsi="Arial" w:cs="Arial"/>
          <w:sz w:val="24"/>
          <w:szCs w:val="24"/>
        </w:rPr>
        <w:t>ía-</w:t>
      </w:r>
      <w:r w:rsidRPr="003D069B">
        <w:rPr>
          <w:rFonts w:ascii="Arial" w:hAnsi="Arial" w:cs="Arial"/>
          <w:sz w:val="24"/>
          <w:szCs w:val="24"/>
        </w:rPr>
        <w:t>Arévalo</w:t>
      </w:r>
      <w:r w:rsidR="00F07648" w:rsidRPr="003D069B">
        <w:rPr>
          <w:rFonts w:ascii="Arial" w:hAnsi="Arial" w:cs="Arial"/>
          <w:sz w:val="24"/>
          <w:szCs w:val="24"/>
        </w:rPr>
        <w:t xml:space="preserve"> L, Santana-</w:t>
      </w:r>
      <w:proofErr w:type="spellStart"/>
      <w:r w:rsidRPr="003D069B">
        <w:rPr>
          <w:rFonts w:ascii="Arial" w:hAnsi="Arial" w:cs="Arial"/>
          <w:sz w:val="24"/>
          <w:szCs w:val="24"/>
        </w:rPr>
        <w:t>Porbén</w:t>
      </w:r>
      <w:proofErr w:type="spellEnd"/>
      <w:r w:rsidR="00F07648" w:rsidRPr="003D069B">
        <w:rPr>
          <w:rFonts w:ascii="Arial" w:hAnsi="Arial" w:cs="Arial"/>
          <w:sz w:val="24"/>
          <w:szCs w:val="24"/>
        </w:rPr>
        <w:t xml:space="preserve"> S</w:t>
      </w:r>
      <w:r w:rsidRPr="003D069B">
        <w:rPr>
          <w:rFonts w:ascii="Arial" w:hAnsi="Arial" w:cs="Arial"/>
          <w:sz w:val="24"/>
          <w:szCs w:val="24"/>
        </w:rPr>
        <w:t>. Nitrógeno ureico urinario estimado del índice de excreción urea-creatinina construido para una muestra única de orina. Revista Cubana de Alimentación y Nutrición. Volumen 25. Número 2 (Julio – Diciembre del 20</w:t>
      </w:r>
      <w:r w:rsidR="000E5F31">
        <w:rPr>
          <w:rFonts w:ascii="Arial" w:hAnsi="Arial" w:cs="Arial"/>
          <w:sz w:val="24"/>
          <w:szCs w:val="24"/>
        </w:rPr>
        <w:t>21</w:t>
      </w:r>
      <w:r w:rsidRPr="003D069B">
        <w:rPr>
          <w:rFonts w:ascii="Arial" w:hAnsi="Arial" w:cs="Arial"/>
          <w:sz w:val="24"/>
          <w:szCs w:val="24"/>
        </w:rPr>
        <w:t>):314-326</w:t>
      </w:r>
    </w:p>
    <w:p w:rsidR="00855543" w:rsidRPr="003D069B" w:rsidRDefault="00A20E98"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Rodríguez-</w:t>
      </w:r>
      <w:r w:rsidR="00855543" w:rsidRPr="003D069B">
        <w:rPr>
          <w:rFonts w:ascii="Arial" w:hAnsi="Arial" w:cs="Arial"/>
          <w:sz w:val="24"/>
          <w:szCs w:val="24"/>
        </w:rPr>
        <w:t>García</w:t>
      </w:r>
      <w:r w:rsidRPr="003D069B">
        <w:rPr>
          <w:rFonts w:ascii="Arial" w:hAnsi="Arial" w:cs="Arial"/>
          <w:sz w:val="24"/>
          <w:szCs w:val="24"/>
        </w:rPr>
        <w:t xml:space="preserve"> E, Pascual-</w:t>
      </w:r>
      <w:r w:rsidR="00855543" w:rsidRPr="003D069B">
        <w:rPr>
          <w:rFonts w:ascii="Arial" w:hAnsi="Arial" w:cs="Arial"/>
          <w:sz w:val="24"/>
          <w:szCs w:val="24"/>
        </w:rPr>
        <w:t>Santos</w:t>
      </w:r>
      <w:r w:rsidRPr="003D069B">
        <w:rPr>
          <w:rFonts w:ascii="Arial" w:hAnsi="Arial" w:cs="Arial"/>
          <w:sz w:val="24"/>
          <w:szCs w:val="24"/>
        </w:rPr>
        <w:t xml:space="preserve"> J</w:t>
      </w:r>
      <w:r w:rsidR="00855543" w:rsidRPr="003D069B">
        <w:rPr>
          <w:rFonts w:ascii="Arial" w:hAnsi="Arial" w:cs="Arial"/>
          <w:sz w:val="24"/>
          <w:szCs w:val="24"/>
        </w:rPr>
        <w:t xml:space="preserve">. ¿Cuándo iniciar diálisis en la insuﬁciencia renal aguda en pacientes críticos? </w:t>
      </w:r>
      <w:proofErr w:type="spellStart"/>
      <w:r w:rsidR="00855543" w:rsidRPr="003D069B">
        <w:rPr>
          <w:rFonts w:ascii="Arial" w:hAnsi="Arial" w:cs="Arial"/>
          <w:sz w:val="24"/>
          <w:szCs w:val="24"/>
        </w:rPr>
        <w:t>Nefrologia</w:t>
      </w:r>
      <w:proofErr w:type="spellEnd"/>
      <w:r w:rsidR="00855543" w:rsidRPr="003D069B">
        <w:rPr>
          <w:rFonts w:ascii="Arial" w:hAnsi="Arial" w:cs="Arial"/>
          <w:sz w:val="24"/>
          <w:szCs w:val="24"/>
        </w:rPr>
        <w:t xml:space="preserve"> 20</w:t>
      </w:r>
      <w:r w:rsidR="000E5F31">
        <w:rPr>
          <w:rFonts w:ascii="Arial" w:hAnsi="Arial" w:cs="Arial"/>
          <w:sz w:val="24"/>
          <w:szCs w:val="24"/>
        </w:rPr>
        <w:t>22</w:t>
      </w:r>
      <w:proofErr w:type="gramStart"/>
      <w:r w:rsidR="00855543" w:rsidRPr="003D069B">
        <w:rPr>
          <w:rFonts w:ascii="Arial" w:hAnsi="Arial" w:cs="Arial"/>
          <w:sz w:val="24"/>
          <w:szCs w:val="24"/>
        </w:rPr>
        <w:t>;37</w:t>
      </w:r>
      <w:proofErr w:type="gramEnd"/>
      <w:r w:rsidR="00855543" w:rsidRPr="003D069B">
        <w:rPr>
          <w:rFonts w:ascii="Arial" w:hAnsi="Arial" w:cs="Arial"/>
          <w:sz w:val="24"/>
          <w:szCs w:val="24"/>
        </w:rPr>
        <w:t>(6):563-566.</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 xml:space="preserve">Díaz de León MA, Briones-Garduño JA, </w:t>
      </w:r>
      <w:proofErr w:type="spellStart"/>
      <w:r w:rsidRPr="003D069B">
        <w:rPr>
          <w:rFonts w:ascii="Arial" w:hAnsi="Arial" w:cs="Arial"/>
          <w:sz w:val="24"/>
          <w:szCs w:val="24"/>
        </w:rPr>
        <w:t>Crillo-Esper</w:t>
      </w:r>
      <w:proofErr w:type="spellEnd"/>
      <w:r w:rsidRPr="003D069B">
        <w:rPr>
          <w:rFonts w:ascii="Arial" w:hAnsi="Arial" w:cs="Arial"/>
          <w:sz w:val="24"/>
          <w:szCs w:val="24"/>
        </w:rPr>
        <w:t xml:space="preserve"> R, Moreno-Santillán A, Pérez-Calatayud AA. Insuficiencia renal aguda (IRA) clasificación, fisiopatología, histología, cuadro clínico, diagnóstico y tratamiento una versión lógica. Revista Mexicana de Anestesiología Vol. 40 no. 4 Octubre-Diciembre 20</w:t>
      </w:r>
      <w:r w:rsidR="000E5F31">
        <w:rPr>
          <w:rFonts w:ascii="Arial" w:hAnsi="Arial" w:cs="Arial"/>
          <w:sz w:val="24"/>
          <w:szCs w:val="24"/>
        </w:rPr>
        <w:t>22</w:t>
      </w:r>
      <w:r w:rsidRPr="003D069B">
        <w:rPr>
          <w:rFonts w:ascii="Arial" w:hAnsi="Arial" w:cs="Arial"/>
          <w:sz w:val="24"/>
          <w:szCs w:val="24"/>
        </w:rPr>
        <w:t xml:space="preserve"> pp. 280-287</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Franco A, Rodríguez D, San</w:t>
      </w:r>
      <w:r w:rsidR="00C26F0D" w:rsidRPr="003D069B">
        <w:rPr>
          <w:rFonts w:ascii="Arial" w:hAnsi="Arial" w:cs="Arial"/>
          <w:sz w:val="24"/>
          <w:szCs w:val="24"/>
        </w:rPr>
        <w:t>z J, Muñoz C, García P, Pérez J, et al.</w:t>
      </w:r>
      <w:r w:rsidRPr="003D069B">
        <w:rPr>
          <w:rFonts w:ascii="Arial" w:hAnsi="Arial" w:cs="Arial"/>
          <w:sz w:val="24"/>
          <w:szCs w:val="24"/>
        </w:rPr>
        <w:t xml:space="preserve"> Fracaso renal agudo en un hospital de tercer nivel, causa relevante de enfermedad renal crónica y mortalidad a medio plazo. </w:t>
      </w:r>
      <w:proofErr w:type="spellStart"/>
      <w:r w:rsidRPr="003D069B">
        <w:rPr>
          <w:rFonts w:ascii="Arial" w:hAnsi="Arial" w:cs="Arial"/>
          <w:sz w:val="24"/>
          <w:szCs w:val="24"/>
        </w:rPr>
        <w:t>Nefrologia</w:t>
      </w:r>
      <w:proofErr w:type="spellEnd"/>
      <w:r w:rsidRPr="003D069B">
        <w:rPr>
          <w:rFonts w:ascii="Arial" w:hAnsi="Arial" w:cs="Arial"/>
          <w:sz w:val="24"/>
          <w:szCs w:val="24"/>
        </w:rPr>
        <w:t xml:space="preserve"> 20</w:t>
      </w:r>
      <w:r w:rsidR="000E5F31">
        <w:rPr>
          <w:rFonts w:ascii="Arial" w:hAnsi="Arial" w:cs="Arial"/>
          <w:sz w:val="24"/>
          <w:szCs w:val="24"/>
        </w:rPr>
        <w:t>20</w:t>
      </w:r>
      <w:proofErr w:type="gramStart"/>
      <w:r w:rsidRPr="003D069B">
        <w:rPr>
          <w:rFonts w:ascii="Arial" w:hAnsi="Arial" w:cs="Arial"/>
          <w:sz w:val="24"/>
          <w:szCs w:val="24"/>
        </w:rPr>
        <w:t>;37</w:t>
      </w:r>
      <w:proofErr w:type="gramEnd"/>
      <w:r w:rsidRPr="003D069B">
        <w:rPr>
          <w:rFonts w:ascii="Arial" w:hAnsi="Arial" w:cs="Arial"/>
          <w:sz w:val="24"/>
          <w:szCs w:val="24"/>
        </w:rPr>
        <w:t>(6):646-668.</w:t>
      </w:r>
    </w:p>
    <w:p w:rsidR="00855543" w:rsidRPr="003D069B" w:rsidRDefault="00C26F0D"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Garcia-</w:t>
      </w:r>
      <w:proofErr w:type="spellStart"/>
      <w:r w:rsidR="00855543" w:rsidRPr="003D069B">
        <w:rPr>
          <w:rFonts w:ascii="Arial" w:hAnsi="Arial" w:cs="Arial"/>
          <w:sz w:val="24"/>
          <w:szCs w:val="24"/>
        </w:rPr>
        <w:t>Camin</w:t>
      </w:r>
      <w:proofErr w:type="spellEnd"/>
      <w:r w:rsidRPr="003D069B">
        <w:rPr>
          <w:rFonts w:ascii="Arial" w:hAnsi="Arial" w:cs="Arial"/>
          <w:sz w:val="24"/>
          <w:szCs w:val="24"/>
        </w:rPr>
        <w:t xml:space="preserve"> RM</w:t>
      </w:r>
      <w:r w:rsidR="00855543" w:rsidRPr="003D069B">
        <w:rPr>
          <w:rFonts w:ascii="Arial" w:hAnsi="Arial" w:cs="Arial"/>
          <w:sz w:val="24"/>
          <w:szCs w:val="24"/>
        </w:rPr>
        <w:t>, Monts</w:t>
      </w:r>
      <w:r w:rsidRPr="003D069B">
        <w:rPr>
          <w:rFonts w:ascii="Arial" w:hAnsi="Arial" w:cs="Arial"/>
          <w:sz w:val="24"/>
          <w:szCs w:val="24"/>
        </w:rPr>
        <w:t>e-</w:t>
      </w:r>
      <w:proofErr w:type="spellStart"/>
      <w:r w:rsidR="00855543" w:rsidRPr="003D069B">
        <w:rPr>
          <w:rFonts w:ascii="Arial" w:hAnsi="Arial" w:cs="Arial"/>
          <w:sz w:val="24"/>
          <w:szCs w:val="24"/>
        </w:rPr>
        <w:t>Cols</w:t>
      </w:r>
      <w:proofErr w:type="spellEnd"/>
      <w:r w:rsidRPr="003D069B">
        <w:rPr>
          <w:rFonts w:ascii="Arial" w:hAnsi="Arial" w:cs="Arial"/>
          <w:sz w:val="24"/>
          <w:szCs w:val="24"/>
        </w:rPr>
        <w:t xml:space="preserve"> R, Leonel-</w:t>
      </w:r>
      <w:proofErr w:type="spellStart"/>
      <w:r w:rsidR="00855543" w:rsidRPr="003D069B">
        <w:rPr>
          <w:rFonts w:ascii="Arial" w:hAnsi="Arial" w:cs="Arial"/>
          <w:sz w:val="24"/>
          <w:szCs w:val="24"/>
        </w:rPr>
        <w:t>Chevarria</w:t>
      </w:r>
      <w:proofErr w:type="spellEnd"/>
      <w:r w:rsidRPr="003D069B">
        <w:rPr>
          <w:rFonts w:ascii="Arial" w:hAnsi="Arial" w:cs="Arial"/>
          <w:sz w:val="24"/>
          <w:szCs w:val="24"/>
        </w:rPr>
        <w:t xml:space="preserve"> J</w:t>
      </w:r>
      <w:r w:rsidR="00855543" w:rsidRPr="003D069B">
        <w:rPr>
          <w:rFonts w:ascii="Arial" w:hAnsi="Arial" w:cs="Arial"/>
          <w:sz w:val="24"/>
          <w:szCs w:val="24"/>
        </w:rPr>
        <w:t xml:space="preserve">,  </w:t>
      </w:r>
      <w:r w:rsidRPr="003D069B">
        <w:rPr>
          <w:rFonts w:ascii="Arial" w:hAnsi="Arial" w:cs="Arial"/>
          <w:sz w:val="24"/>
          <w:szCs w:val="24"/>
        </w:rPr>
        <w:t>García-</w:t>
      </w:r>
      <w:r w:rsidR="00855543" w:rsidRPr="003D069B">
        <w:rPr>
          <w:rFonts w:ascii="Arial" w:hAnsi="Arial" w:cs="Arial"/>
          <w:sz w:val="24"/>
          <w:szCs w:val="24"/>
        </w:rPr>
        <w:t>Osuna</w:t>
      </w:r>
      <w:r w:rsidRPr="003D069B">
        <w:rPr>
          <w:rFonts w:ascii="Arial" w:hAnsi="Arial" w:cs="Arial"/>
          <w:sz w:val="24"/>
          <w:szCs w:val="24"/>
        </w:rPr>
        <w:t xml:space="preserve"> R</w:t>
      </w:r>
      <w:r w:rsidR="00855543" w:rsidRPr="003D069B">
        <w:rPr>
          <w:rFonts w:ascii="Arial" w:hAnsi="Arial" w:cs="Arial"/>
          <w:sz w:val="24"/>
          <w:szCs w:val="24"/>
        </w:rPr>
        <w:t>, Carreras</w:t>
      </w:r>
      <w:r w:rsidRPr="003D069B">
        <w:rPr>
          <w:rFonts w:ascii="Arial" w:hAnsi="Arial" w:cs="Arial"/>
          <w:sz w:val="24"/>
          <w:szCs w:val="24"/>
        </w:rPr>
        <w:t xml:space="preserve">-García M, </w:t>
      </w:r>
      <w:proofErr w:type="spellStart"/>
      <w:r w:rsidRPr="003D069B">
        <w:rPr>
          <w:rFonts w:ascii="Arial" w:hAnsi="Arial" w:cs="Arial"/>
          <w:sz w:val="24"/>
          <w:szCs w:val="24"/>
        </w:rPr>
        <w:t>Maria-</w:t>
      </w:r>
      <w:r w:rsidR="00855543" w:rsidRPr="003D069B">
        <w:rPr>
          <w:rFonts w:ascii="Arial" w:hAnsi="Arial" w:cs="Arial"/>
          <w:sz w:val="24"/>
          <w:szCs w:val="24"/>
        </w:rPr>
        <w:t>Lisbona</w:t>
      </w:r>
      <w:proofErr w:type="spellEnd"/>
      <w:r w:rsidRPr="003D069B">
        <w:rPr>
          <w:rFonts w:ascii="Arial" w:hAnsi="Arial" w:cs="Arial"/>
          <w:sz w:val="24"/>
          <w:szCs w:val="24"/>
        </w:rPr>
        <w:t xml:space="preserve"> J</w:t>
      </w:r>
      <w:r w:rsidR="00855543" w:rsidRPr="003D069B">
        <w:rPr>
          <w:rFonts w:ascii="Arial" w:hAnsi="Arial" w:cs="Arial"/>
          <w:sz w:val="24"/>
          <w:szCs w:val="24"/>
        </w:rPr>
        <w:t xml:space="preserve">. Fracaso renal agudo secundario a combinación  de inhibidores del sistema renina-angiotensina,  diuréticos y </w:t>
      </w:r>
      <w:r w:rsidR="00855543" w:rsidRPr="003D069B">
        <w:rPr>
          <w:rFonts w:ascii="Arial" w:hAnsi="Arial" w:cs="Arial"/>
          <w:sz w:val="24"/>
          <w:szCs w:val="24"/>
        </w:rPr>
        <w:lastRenderedPageBreak/>
        <w:t xml:space="preserve">AINES. “La Triple </w:t>
      </w:r>
      <w:proofErr w:type="spellStart"/>
      <w:r w:rsidR="00855543" w:rsidRPr="003D069B">
        <w:rPr>
          <w:rFonts w:ascii="Arial" w:hAnsi="Arial" w:cs="Arial"/>
          <w:sz w:val="24"/>
          <w:szCs w:val="24"/>
        </w:rPr>
        <w:t>Whammy</w:t>
      </w:r>
      <w:proofErr w:type="spellEnd"/>
      <w:r w:rsidR="00855543" w:rsidRPr="003D069B">
        <w:rPr>
          <w:rFonts w:ascii="Arial" w:hAnsi="Arial" w:cs="Arial"/>
          <w:sz w:val="24"/>
          <w:szCs w:val="24"/>
        </w:rPr>
        <w:t xml:space="preserve">”. NEFROLOGIA 2015; 35(2):197-206. </w:t>
      </w:r>
      <w:hyperlink r:id="rId33" w:history="1">
        <w:r w:rsidR="00855543" w:rsidRPr="003D069B">
          <w:rPr>
            <w:rStyle w:val="Hipervnculo"/>
            <w:rFonts w:ascii="Arial" w:hAnsi="Arial" w:cs="Arial"/>
            <w:color w:val="auto"/>
            <w:sz w:val="24"/>
            <w:szCs w:val="24"/>
          </w:rPr>
          <w:t>www.revistanefrologia.com</w:t>
        </w:r>
      </w:hyperlink>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Cieza</w:t>
      </w:r>
      <w:r w:rsidR="000B52E8" w:rsidRPr="003D069B">
        <w:rPr>
          <w:rFonts w:ascii="Arial" w:hAnsi="Arial" w:cs="Arial"/>
          <w:sz w:val="24"/>
          <w:szCs w:val="24"/>
        </w:rPr>
        <w:t xml:space="preserve"> J</w:t>
      </w:r>
      <w:r w:rsidRPr="003D069B">
        <w:rPr>
          <w:rFonts w:ascii="Arial" w:hAnsi="Arial" w:cs="Arial"/>
          <w:sz w:val="24"/>
          <w:szCs w:val="24"/>
        </w:rPr>
        <w:t xml:space="preserve">, </w:t>
      </w:r>
      <w:proofErr w:type="spellStart"/>
      <w:r w:rsidRPr="003D069B">
        <w:rPr>
          <w:rFonts w:ascii="Arial" w:hAnsi="Arial" w:cs="Arial"/>
          <w:sz w:val="24"/>
          <w:szCs w:val="24"/>
        </w:rPr>
        <w:t>Lluncor</w:t>
      </w:r>
      <w:proofErr w:type="spellEnd"/>
      <w:r w:rsidR="000B52E8" w:rsidRPr="003D069B">
        <w:rPr>
          <w:rFonts w:ascii="Arial" w:hAnsi="Arial" w:cs="Arial"/>
          <w:sz w:val="24"/>
          <w:szCs w:val="24"/>
        </w:rPr>
        <w:t xml:space="preserve"> J</w:t>
      </w:r>
      <w:r w:rsidRPr="003D069B">
        <w:rPr>
          <w:rFonts w:ascii="Arial" w:hAnsi="Arial" w:cs="Arial"/>
          <w:sz w:val="24"/>
          <w:szCs w:val="24"/>
        </w:rPr>
        <w:t>, Cama</w:t>
      </w:r>
      <w:r w:rsidR="000B52E8" w:rsidRPr="003D069B">
        <w:rPr>
          <w:rFonts w:ascii="Arial" w:hAnsi="Arial" w:cs="Arial"/>
          <w:sz w:val="24"/>
          <w:szCs w:val="24"/>
        </w:rPr>
        <w:t xml:space="preserve"> A</w:t>
      </w:r>
      <w:r w:rsidRPr="003D069B">
        <w:rPr>
          <w:rFonts w:ascii="Arial" w:hAnsi="Arial" w:cs="Arial"/>
          <w:sz w:val="24"/>
          <w:szCs w:val="24"/>
        </w:rPr>
        <w:t xml:space="preserve">. Pronóstico de la injuria renal aguda en el corto y largo plazo. </w:t>
      </w:r>
      <w:proofErr w:type="spellStart"/>
      <w:r w:rsidRPr="003D069B">
        <w:rPr>
          <w:rFonts w:ascii="Arial" w:hAnsi="Arial" w:cs="Arial"/>
          <w:sz w:val="24"/>
          <w:szCs w:val="24"/>
        </w:rPr>
        <w:t>Rev</w:t>
      </w:r>
      <w:proofErr w:type="spellEnd"/>
      <w:r w:rsidRPr="003D069B">
        <w:rPr>
          <w:rFonts w:ascii="Arial" w:hAnsi="Arial" w:cs="Arial"/>
          <w:sz w:val="24"/>
          <w:szCs w:val="24"/>
        </w:rPr>
        <w:t xml:space="preserve"> </w:t>
      </w:r>
      <w:proofErr w:type="spellStart"/>
      <w:r w:rsidRPr="003D069B">
        <w:rPr>
          <w:rFonts w:ascii="Arial" w:hAnsi="Arial" w:cs="Arial"/>
          <w:sz w:val="24"/>
          <w:szCs w:val="24"/>
        </w:rPr>
        <w:t>Med</w:t>
      </w:r>
      <w:proofErr w:type="spellEnd"/>
      <w:r w:rsidRPr="003D069B">
        <w:rPr>
          <w:rFonts w:ascii="Arial" w:hAnsi="Arial" w:cs="Arial"/>
          <w:sz w:val="24"/>
          <w:szCs w:val="24"/>
        </w:rPr>
        <w:t xml:space="preserve"> </w:t>
      </w:r>
      <w:proofErr w:type="spellStart"/>
      <w:r w:rsidRPr="003D069B">
        <w:rPr>
          <w:rFonts w:ascii="Arial" w:hAnsi="Arial" w:cs="Arial"/>
          <w:sz w:val="24"/>
          <w:szCs w:val="24"/>
        </w:rPr>
        <w:t>Hered</w:t>
      </w:r>
      <w:proofErr w:type="spellEnd"/>
      <w:r w:rsidRPr="003D069B">
        <w:rPr>
          <w:rFonts w:ascii="Arial" w:hAnsi="Arial" w:cs="Arial"/>
          <w:sz w:val="24"/>
          <w:szCs w:val="24"/>
        </w:rPr>
        <w:t>. 20</w:t>
      </w:r>
      <w:r w:rsidR="000E5F31">
        <w:rPr>
          <w:rFonts w:ascii="Arial" w:hAnsi="Arial" w:cs="Arial"/>
          <w:sz w:val="24"/>
          <w:szCs w:val="24"/>
        </w:rPr>
        <w:t>21</w:t>
      </w:r>
      <w:r w:rsidRPr="003D069B">
        <w:rPr>
          <w:rFonts w:ascii="Arial" w:hAnsi="Arial" w:cs="Arial"/>
          <w:sz w:val="24"/>
          <w:szCs w:val="24"/>
        </w:rPr>
        <w:t>; 28:75-83</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r w:rsidRPr="003D069B">
        <w:rPr>
          <w:rFonts w:ascii="Arial" w:hAnsi="Arial" w:cs="Arial"/>
          <w:sz w:val="24"/>
          <w:szCs w:val="24"/>
          <w:lang w:val="en-US"/>
        </w:rPr>
        <w:t xml:space="preserve">Ming-Hung Tsai, Yung-Chang Chen, </w:t>
      </w:r>
      <w:proofErr w:type="spellStart"/>
      <w:r w:rsidRPr="003D069B">
        <w:rPr>
          <w:rFonts w:ascii="Arial" w:hAnsi="Arial" w:cs="Arial"/>
          <w:sz w:val="24"/>
          <w:szCs w:val="24"/>
          <w:lang w:val="en-US"/>
        </w:rPr>
        <w:t>Chih</w:t>
      </w:r>
      <w:proofErr w:type="spellEnd"/>
      <w:r w:rsidRPr="003D069B">
        <w:rPr>
          <w:rFonts w:ascii="Arial" w:hAnsi="Arial" w:cs="Arial"/>
          <w:sz w:val="24"/>
          <w:szCs w:val="24"/>
          <w:lang w:val="en-US"/>
        </w:rPr>
        <w:t xml:space="preserve">-Wei Yang, Chang-Chi </w:t>
      </w:r>
      <w:proofErr w:type="spellStart"/>
      <w:r w:rsidRPr="003D069B">
        <w:rPr>
          <w:rFonts w:ascii="Arial" w:hAnsi="Arial" w:cs="Arial"/>
          <w:sz w:val="24"/>
          <w:szCs w:val="24"/>
          <w:lang w:val="en-US"/>
        </w:rPr>
        <w:t>Jenq</w:t>
      </w:r>
      <w:proofErr w:type="spellEnd"/>
      <w:r w:rsidRPr="003D069B">
        <w:rPr>
          <w:rFonts w:ascii="Arial" w:hAnsi="Arial" w:cs="Arial"/>
          <w:sz w:val="24"/>
          <w:szCs w:val="24"/>
          <w:lang w:val="en-US"/>
        </w:rPr>
        <w:t xml:space="preserve">, Tseng Fang, </w:t>
      </w:r>
      <w:proofErr w:type="spellStart"/>
      <w:r w:rsidRPr="003D069B">
        <w:rPr>
          <w:rFonts w:ascii="Arial" w:hAnsi="Arial" w:cs="Arial"/>
          <w:sz w:val="24"/>
          <w:szCs w:val="24"/>
          <w:lang w:val="en-US"/>
        </w:rPr>
        <w:t>Jau</w:t>
      </w:r>
      <w:proofErr w:type="spellEnd"/>
      <w:r w:rsidRPr="003D069B">
        <w:rPr>
          <w:rFonts w:ascii="Arial" w:hAnsi="Arial" w:cs="Arial"/>
          <w:sz w:val="24"/>
          <w:szCs w:val="24"/>
          <w:lang w:val="en-US"/>
        </w:rPr>
        <w:t>-Min Lien</w:t>
      </w:r>
      <w:r w:rsidR="009A2EF5" w:rsidRPr="003D069B">
        <w:rPr>
          <w:rFonts w:ascii="Arial" w:hAnsi="Arial" w:cs="Arial"/>
          <w:sz w:val="24"/>
          <w:szCs w:val="24"/>
          <w:lang w:val="en-US"/>
        </w:rPr>
        <w:t>, et al.</w:t>
      </w:r>
      <w:r w:rsidRPr="003D069B">
        <w:rPr>
          <w:rFonts w:ascii="Arial" w:hAnsi="Arial" w:cs="Arial"/>
          <w:sz w:val="24"/>
          <w:szCs w:val="24"/>
          <w:lang w:val="en-US"/>
        </w:rPr>
        <w:t xml:space="preserve"> Acute renal failure in cirrhotic patients with severe sepsis: Value of urinary interleukin-18. 201</w:t>
      </w:r>
      <w:r w:rsidR="00AD5AA8">
        <w:rPr>
          <w:rFonts w:ascii="Arial" w:hAnsi="Arial" w:cs="Arial"/>
          <w:sz w:val="24"/>
          <w:szCs w:val="24"/>
          <w:lang w:val="en-US"/>
        </w:rPr>
        <w:t>8</w:t>
      </w:r>
      <w:r w:rsidRPr="003D069B">
        <w:rPr>
          <w:rFonts w:ascii="Arial" w:hAnsi="Arial" w:cs="Arial"/>
          <w:sz w:val="24"/>
          <w:szCs w:val="24"/>
          <w:lang w:val="en-US"/>
        </w:rPr>
        <w:t xml:space="preserve"> Journal of Gastroenterology and </w:t>
      </w:r>
      <w:proofErr w:type="spellStart"/>
      <w:r w:rsidRPr="003D069B">
        <w:rPr>
          <w:rFonts w:ascii="Arial" w:hAnsi="Arial" w:cs="Arial"/>
          <w:sz w:val="24"/>
          <w:szCs w:val="24"/>
          <w:lang w:val="en-US"/>
        </w:rPr>
        <w:t>Hepatology</w:t>
      </w:r>
      <w:proofErr w:type="spellEnd"/>
      <w:r w:rsidRPr="003D069B">
        <w:rPr>
          <w:rFonts w:ascii="Arial" w:hAnsi="Arial" w:cs="Arial"/>
          <w:sz w:val="24"/>
          <w:szCs w:val="24"/>
          <w:lang w:val="en-US"/>
        </w:rPr>
        <w:t>.</w:t>
      </w:r>
    </w:p>
    <w:p w:rsidR="00855543" w:rsidRPr="003D069B" w:rsidRDefault="00583392" w:rsidP="00855543">
      <w:pPr>
        <w:pStyle w:val="Prrafodelista"/>
        <w:numPr>
          <w:ilvl w:val="0"/>
          <w:numId w:val="10"/>
        </w:numPr>
        <w:spacing w:after="160" w:line="360" w:lineRule="auto"/>
        <w:ind w:left="284" w:hanging="284"/>
        <w:jc w:val="both"/>
        <w:rPr>
          <w:rFonts w:ascii="Arial" w:hAnsi="Arial" w:cs="Arial"/>
          <w:sz w:val="24"/>
          <w:szCs w:val="24"/>
          <w:lang w:val="en-US"/>
        </w:rPr>
      </w:pPr>
      <w:proofErr w:type="spellStart"/>
      <w:r w:rsidRPr="003D069B">
        <w:rPr>
          <w:rFonts w:ascii="Arial" w:hAnsi="Arial" w:cs="Arial"/>
          <w:sz w:val="24"/>
          <w:szCs w:val="24"/>
          <w:lang w:val="en-US"/>
        </w:rPr>
        <w:t>Rémi-</w:t>
      </w:r>
      <w:r w:rsidR="00855543" w:rsidRPr="003D069B">
        <w:rPr>
          <w:rFonts w:ascii="Arial" w:hAnsi="Arial" w:cs="Arial"/>
          <w:sz w:val="24"/>
          <w:szCs w:val="24"/>
          <w:lang w:val="en-US"/>
        </w:rPr>
        <w:t>Bruyère</w:t>
      </w:r>
      <w:proofErr w:type="spellEnd"/>
      <w:r w:rsidRPr="003D069B">
        <w:rPr>
          <w:rFonts w:ascii="Arial" w:hAnsi="Arial" w:cs="Arial"/>
          <w:sz w:val="24"/>
          <w:szCs w:val="24"/>
          <w:lang w:val="en-US"/>
        </w:rPr>
        <w:t xml:space="preserve"> A</w:t>
      </w:r>
      <w:r w:rsidR="00855543" w:rsidRPr="003D069B">
        <w:rPr>
          <w:rFonts w:ascii="Arial" w:hAnsi="Arial" w:cs="Arial"/>
          <w:sz w:val="24"/>
          <w:szCs w:val="24"/>
          <w:lang w:val="en-US"/>
        </w:rPr>
        <w:t xml:space="preserve">, </w:t>
      </w:r>
      <w:proofErr w:type="spellStart"/>
      <w:r w:rsidR="00855543" w:rsidRPr="003D069B">
        <w:rPr>
          <w:rFonts w:ascii="Arial" w:hAnsi="Arial" w:cs="Arial"/>
          <w:sz w:val="24"/>
          <w:szCs w:val="24"/>
          <w:lang w:val="en-US"/>
        </w:rPr>
        <w:t>Soudry</w:t>
      </w:r>
      <w:proofErr w:type="spellEnd"/>
      <w:r w:rsidR="00855543" w:rsidRPr="003D069B">
        <w:rPr>
          <w:rFonts w:ascii="Arial" w:hAnsi="Arial" w:cs="Arial"/>
          <w:sz w:val="24"/>
          <w:szCs w:val="24"/>
          <w:lang w:val="en-US"/>
        </w:rPr>
        <w:t>-Faure</w:t>
      </w:r>
      <w:r w:rsidRPr="003D069B">
        <w:rPr>
          <w:rFonts w:ascii="Arial" w:hAnsi="Arial" w:cs="Arial"/>
          <w:sz w:val="24"/>
          <w:szCs w:val="24"/>
          <w:lang w:val="en-US"/>
        </w:rPr>
        <w:t xml:space="preserve"> A</w:t>
      </w:r>
      <w:r w:rsidR="00855543" w:rsidRPr="003D069B">
        <w:rPr>
          <w:rFonts w:ascii="Arial" w:hAnsi="Arial" w:cs="Arial"/>
          <w:sz w:val="24"/>
          <w:szCs w:val="24"/>
          <w:lang w:val="en-US"/>
        </w:rPr>
        <w:t xml:space="preserve">, </w:t>
      </w:r>
      <w:r w:rsidRPr="003D069B">
        <w:rPr>
          <w:rFonts w:ascii="Arial" w:hAnsi="Arial" w:cs="Arial"/>
          <w:sz w:val="24"/>
          <w:szCs w:val="24"/>
          <w:lang w:val="en-US"/>
        </w:rPr>
        <w:t>Gilles-</w:t>
      </w:r>
      <w:proofErr w:type="spellStart"/>
      <w:r w:rsidR="00855543" w:rsidRPr="003D069B">
        <w:rPr>
          <w:rFonts w:ascii="Arial" w:hAnsi="Arial" w:cs="Arial"/>
          <w:sz w:val="24"/>
          <w:szCs w:val="24"/>
          <w:lang w:val="en-US"/>
        </w:rPr>
        <w:t>Capellier</w:t>
      </w:r>
      <w:proofErr w:type="spellEnd"/>
      <w:r w:rsidRPr="003D069B">
        <w:rPr>
          <w:rFonts w:ascii="Arial" w:hAnsi="Arial" w:cs="Arial"/>
          <w:sz w:val="24"/>
          <w:szCs w:val="24"/>
          <w:lang w:val="en-US"/>
        </w:rPr>
        <w:t xml:space="preserve"> S</w:t>
      </w:r>
      <w:r w:rsidR="00855543" w:rsidRPr="003D069B">
        <w:rPr>
          <w:rFonts w:ascii="Arial" w:hAnsi="Arial" w:cs="Arial"/>
          <w:sz w:val="24"/>
          <w:szCs w:val="24"/>
          <w:lang w:val="en-US"/>
        </w:rPr>
        <w:t xml:space="preserve">, </w:t>
      </w:r>
      <w:proofErr w:type="spellStart"/>
      <w:r w:rsidR="00855543" w:rsidRPr="003D069B">
        <w:rPr>
          <w:rFonts w:ascii="Arial" w:hAnsi="Arial" w:cs="Arial"/>
          <w:sz w:val="24"/>
          <w:szCs w:val="24"/>
          <w:lang w:val="en-US"/>
        </w:rPr>
        <w:t>Binquet</w:t>
      </w:r>
      <w:proofErr w:type="spellEnd"/>
      <w:r w:rsidRPr="003D069B">
        <w:rPr>
          <w:rFonts w:ascii="Arial" w:hAnsi="Arial" w:cs="Arial"/>
          <w:sz w:val="24"/>
          <w:szCs w:val="24"/>
          <w:lang w:val="en-US"/>
        </w:rPr>
        <w:t>-Laud C</w:t>
      </w:r>
      <w:r w:rsidR="00855543" w:rsidRPr="003D069B">
        <w:rPr>
          <w:rFonts w:ascii="Arial" w:hAnsi="Arial" w:cs="Arial"/>
          <w:sz w:val="24"/>
          <w:szCs w:val="24"/>
          <w:lang w:val="en-US"/>
        </w:rPr>
        <w:t xml:space="preserve">, </w:t>
      </w:r>
      <w:proofErr w:type="spellStart"/>
      <w:r w:rsidRPr="003D069B">
        <w:rPr>
          <w:rFonts w:ascii="Arial" w:hAnsi="Arial" w:cs="Arial"/>
          <w:sz w:val="24"/>
          <w:szCs w:val="24"/>
          <w:lang w:val="en-US"/>
        </w:rPr>
        <w:t>Abdelouaid-</w:t>
      </w:r>
      <w:r w:rsidR="00855543" w:rsidRPr="003D069B">
        <w:rPr>
          <w:rFonts w:ascii="Arial" w:hAnsi="Arial" w:cs="Arial"/>
          <w:sz w:val="24"/>
          <w:szCs w:val="24"/>
          <w:lang w:val="en-US"/>
        </w:rPr>
        <w:t>Nadji</w:t>
      </w:r>
      <w:proofErr w:type="spellEnd"/>
      <w:r w:rsidRPr="003D069B">
        <w:rPr>
          <w:rFonts w:ascii="Arial" w:hAnsi="Arial" w:cs="Arial"/>
          <w:sz w:val="24"/>
          <w:szCs w:val="24"/>
          <w:lang w:val="en-US"/>
        </w:rPr>
        <w:t xml:space="preserve"> M</w:t>
      </w:r>
      <w:r w:rsidR="00855543" w:rsidRPr="003D069B">
        <w:rPr>
          <w:rFonts w:ascii="Arial" w:hAnsi="Arial" w:cs="Arial"/>
          <w:sz w:val="24"/>
          <w:szCs w:val="24"/>
          <w:lang w:val="en-US"/>
        </w:rPr>
        <w:t xml:space="preserve">, </w:t>
      </w:r>
      <w:r w:rsidRPr="003D069B">
        <w:rPr>
          <w:rFonts w:ascii="Arial" w:hAnsi="Arial" w:cs="Arial"/>
          <w:sz w:val="24"/>
          <w:szCs w:val="24"/>
          <w:lang w:val="en-US"/>
        </w:rPr>
        <w:t>Gilles-</w:t>
      </w:r>
      <w:proofErr w:type="spellStart"/>
      <w:r w:rsidR="00855543" w:rsidRPr="003D069B">
        <w:rPr>
          <w:rFonts w:ascii="Arial" w:hAnsi="Arial" w:cs="Arial"/>
          <w:sz w:val="24"/>
          <w:szCs w:val="24"/>
          <w:lang w:val="en-US"/>
        </w:rPr>
        <w:t>Blasco</w:t>
      </w:r>
      <w:proofErr w:type="spellEnd"/>
      <w:r w:rsidRPr="003D069B">
        <w:rPr>
          <w:rFonts w:ascii="Arial" w:hAnsi="Arial" w:cs="Arial"/>
          <w:sz w:val="24"/>
          <w:szCs w:val="24"/>
          <w:lang w:val="en-US"/>
        </w:rPr>
        <w:t xml:space="preserve"> M</w:t>
      </w:r>
      <w:r w:rsidR="00855543" w:rsidRPr="003D069B">
        <w:rPr>
          <w:rFonts w:ascii="Arial" w:hAnsi="Arial" w:cs="Arial"/>
          <w:sz w:val="24"/>
          <w:szCs w:val="24"/>
          <w:lang w:val="en-US"/>
        </w:rPr>
        <w:t>, et al. Comparison of heparin to citrate as a catheter locking solution for non-tunneled central venous hemodialysis catheters in patients requiring renal replacement therapy for acute renal failure (VERROU-REA study): study protocol for a randomized controlled trial. 201</w:t>
      </w:r>
      <w:r w:rsidR="00AD5AA8">
        <w:rPr>
          <w:rFonts w:ascii="Arial" w:hAnsi="Arial" w:cs="Arial"/>
          <w:sz w:val="24"/>
          <w:szCs w:val="24"/>
          <w:lang w:val="en-US"/>
        </w:rPr>
        <w:t>7</w:t>
      </w:r>
      <w:r w:rsidR="00855543" w:rsidRPr="003D069B">
        <w:rPr>
          <w:rFonts w:ascii="Arial" w:hAnsi="Arial" w:cs="Arial"/>
          <w:sz w:val="24"/>
          <w:szCs w:val="24"/>
          <w:lang w:val="en-US"/>
        </w:rPr>
        <w:t xml:space="preserve">. </w:t>
      </w:r>
      <w:proofErr w:type="spellStart"/>
      <w:r w:rsidR="00855543" w:rsidRPr="003D069B">
        <w:rPr>
          <w:rFonts w:ascii="Arial" w:hAnsi="Arial" w:cs="Arial"/>
          <w:sz w:val="24"/>
          <w:szCs w:val="24"/>
          <w:lang w:val="en-US"/>
        </w:rPr>
        <w:t>BiomedCentral</w:t>
      </w:r>
      <w:proofErr w:type="spellEnd"/>
      <w:r w:rsidR="00855543" w:rsidRPr="003D069B">
        <w:rPr>
          <w:rFonts w:ascii="Arial" w:hAnsi="Arial" w:cs="Arial"/>
          <w:sz w:val="24"/>
          <w:szCs w:val="24"/>
          <w:lang w:val="en-US"/>
        </w:rPr>
        <w:t xml:space="preserve">. </w:t>
      </w:r>
      <w:hyperlink r:id="rId34" w:history="1">
        <w:r w:rsidR="00855543" w:rsidRPr="003D069B">
          <w:rPr>
            <w:rStyle w:val="Hipervnculo"/>
            <w:rFonts w:ascii="Arial" w:hAnsi="Arial" w:cs="Arial"/>
            <w:color w:val="auto"/>
            <w:sz w:val="24"/>
            <w:szCs w:val="24"/>
            <w:lang w:val="en-US"/>
          </w:rPr>
          <w:t>http://www.biomedcentral.com/</w:t>
        </w:r>
      </w:hyperlink>
    </w:p>
    <w:p w:rsidR="00F30DAC" w:rsidRPr="003D069B" w:rsidRDefault="00F30DAC" w:rsidP="00F30DAC">
      <w:pPr>
        <w:pStyle w:val="Prrafodelista"/>
        <w:numPr>
          <w:ilvl w:val="0"/>
          <w:numId w:val="10"/>
        </w:numPr>
        <w:spacing w:line="360" w:lineRule="auto"/>
        <w:jc w:val="both"/>
        <w:rPr>
          <w:rFonts w:ascii="Arial" w:hAnsi="Arial" w:cs="Arial"/>
          <w:sz w:val="24"/>
          <w:szCs w:val="24"/>
          <w:lang w:val="en-US"/>
        </w:rPr>
      </w:pPr>
      <w:proofErr w:type="spellStart"/>
      <w:r w:rsidRPr="003D069B">
        <w:rPr>
          <w:rFonts w:ascii="Arial" w:hAnsi="Arial" w:cs="Arial"/>
          <w:sz w:val="24"/>
          <w:szCs w:val="24"/>
          <w:lang w:val="en-US"/>
        </w:rPr>
        <w:t>Kritmetapak</w:t>
      </w:r>
      <w:proofErr w:type="spellEnd"/>
      <w:r w:rsidRPr="003D069B">
        <w:rPr>
          <w:rFonts w:ascii="Arial" w:hAnsi="Arial" w:cs="Arial"/>
          <w:sz w:val="24"/>
          <w:szCs w:val="24"/>
          <w:lang w:val="en-US"/>
        </w:rPr>
        <w:t xml:space="preserve"> K, </w:t>
      </w:r>
      <w:proofErr w:type="spellStart"/>
      <w:r w:rsidRPr="003D069B">
        <w:rPr>
          <w:rFonts w:ascii="Arial" w:hAnsi="Arial" w:cs="Arial"/>
          <w:sz w:val="24"/>
          <w:szCs w:val="24"/>
          <w:lang w:val="en-US"/>
        </w:rPr>
        <w:t>Peerapornratana</w:t>
      </w:r>
      <w:proofErr w:type="spellEnd"/>
      <w:r w:rsidRPr="003D069B">
        <w:rPr>
          <w:rFonts w:ascii="Arial" w:hAnsi="Arial" w:cs="Arial"/>
          <w:sz w:val="24"/>
          <w:szCs w:val="24"/>
          <w:lang w:val="en-US"/>
        </w:rPr>
        <w:t xml:space="preserve"> S, </w:t>
      </w:r>
      <w:proofErr w:type="spellStart"/>
      <w:r w:rsidRPr="003D069B">
        <w:rPr>
          <w:rFonts w:ascii="Arial" w:hAnsi="Arial" w:cs="Arial"/>
          <w:sz w:val="24"/>
          <w:szCs w:val="24"/>
          <w:lang w:val="en-US"/>
        </w:rPr>
        <w:t>Srisawat</w:t>
      </w:r>
      <w:proofErr w:type="spellEnd"/>
      <w:r w:rsidRPr="003D069B">
        <w:rPr>
          <w:rFonts w:ascii="Arial" w:hAnsi="Arial" w:cs="Arial"/>
          <w:sz w:val="24"/>
          <w:szCs w:val="24"/>
          <w:lang w:val="en-US"/>
        </w:rPr>
        <w:t xml:space="preserve"> N, </w:t>
      </w:r>
      <w:proofErr w:type="spellStart"/>
      <w:r w:rsidRPr="003D069B">
        <w:rPr>
          <w:rFonts w:ascii="Arial" w:hAnsi="Arial" w:cs="Arial"/>
          <w:sz w:val="24"/>
          <w:szCs w:val="24"/>
          <w:lang w:val="en-US"/>
        </w:rPr>
        <w:t>Somlaw</w:t>
      </w:r>
      <w:proofErr w:type="spellEnd"/>
      <w:r w:rsidRPr="003D069B">
        <w:rPr>
          <w:rFonts w:ascii="Arial" w:hAnsi="Arial" w:cs="Arial"/>
          <w:sz w:val="24"/>
          <w:szCs w:val="24"/>
          <w:lang w:val="en-US"/>
        </w:rPr>
        <w:t xml:space="preserve"> N, </w:t>
      </w:r>
      <w:proofErr w:type="spellStart"/>
      <w:r w:rsidRPr="003D069B">
        <w:rPr>
          <w:rFonts w:ascii="Arial" w:hAnsi="Arial" w:cs="Arial"/>
          <w:sz w:val="24"/>
          <w:szCs w:val="24"/>
          <w:lang w:val="en-US"/>
        </w:rPr>
        <w:t>Lakananurak</w:t>
      </w:r>
      <w:proofErr w:type="spellEnd"/>
      <w:r w:rsidRPr="003D069B">
        <w:rPr>
          <w:rFonts w:ascii="Arial" w:hAnsi="Arial" w:cs="Arial"/>
          <w:sz w:val="24"/>
          <w:szCs w:val="24"/>
          <w:lang w:val="en-US"/>
        </w:rPr>
        <w:t xml:space="preserve"> N, </w:t>
      </w:r>
      <w:proofErr w:type="spellStart"/>
      <w:r w:rsidRPr="003D069B">
        <w:rPr>
          <w:rFonts w:ascii="Arial" w:hAnsi="Arial" w:cs="Arial"/>
          <w:sz w:val="24"/>
          <w:szCs w:val="24"/>
          <w:lang w:val="en-US"/>
        </w:rPr>
        <w:t>Kittiskulnam</w:t>
      </w:r>
      <w:proofErr w:type="spellEnd"/>
      <w:r w:rsidRPr="003D069B">
        <w:rPr>
          <w:rFonts w:ascii="Arial" w:hAnsi="Arial" w:cs="Arial"/>
          <w:sz w:val="24"/>
          <w:szCs w:val="24"/>
          <w:lang w:val="en-US"/>
        </w:rPr>
        <w:t xml:space="preserve"> P, et al. The Impact of Macro-and Micronutrients on Predicting Outcomes of Critically Ill Patients Requiring Continuous Renal Replacement Therapy. </w:t>
      </w:r>
      <w:proofErr w:type="spellStart"/>
      <w:r w:rsidRPr="003D069B">
        <w:rPr>
          <w:rFonts w:ascii="Arial" w:hAnsi="Arial" w:cs="Arial"/>
          <w:sz w:val="24"/>
          <w:szCs w:val="24"/>
          <w:lang w:val="en-US"/>
        </w:rPr>
        <w:t>Plos</w:t>
      </w:r>
      <w:proofErr w:type="spellEnd"/>
      <w:r w:rsidRPr="003D069B">
        <w:rPr>
          <w:rFonts w:ascii="Arial" w:hAnsi="Arial" w:cs="Arial"/>
          <w:sz w:val="24"/>
          <w:szCs w:val="24"/>
          <w:lang w:val="en-US"/>
        </w:rPr>
        <w:t xml:space="preserve"> ONE [serial on the Internet]. (2016, June 28), 2016]; 11(6): 1-12. Available from: Academic Search Premier.</w:t>
      </w:r>
    </w:p>
    <w:p w:rsidR="00855543" w:rsidRPr="003D069B" w:rsidRDefault="00980FE1"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Lujan-</w:t>
      </w:r>
      <w:proofErr w:type="spellStart"/>
      <w:r w:rsidR="00855543" w:rsidRPr="003D069B">
        <w:rPr>
          <w:rFonts w:ascii="Arial" w:hAnsi="Arial" w:cs="Arial"/>
          <w:sz w:val="24"/>
          <w:szCs w:val="24"/>
        </w:rPr>
        <w:t>Iavecchia</w:t>
      </w:r>
      <w:proofErr w:type="spellEnd"/>
      <w:r w:rsidRPr="003D069B">
        <w:rPr>
          <w:rFonts w:ascii="Arial" w:hAnsi="Arial" w:cs="Arial"/>
          <w:sz w:val="24"/>
          <w:szCs w:val="24"/>
        </w:rPr>
        <w:t xml:space="preserve"> B, Cereza-</w:t>
      </w:r>
      <w:r w:rsidR="00855543" w:rsidRPr="003D069B">
        <w:rPr>
          <w:rFonts w:ascii="Arial" w:hAnsi="Arial" w:cs="Arial"/>
          <w:sz w:val="24"/>
          <w:szCs w:val="24"/>
        </w:rPr>
        <w:t>García</w:t>
      </w:r>
      <w:r w:rsidRPr="003D069B">
        <w:rPr>
          <w:rFonts w:ascii="Arial" w:hAnsi="Arial" w:cs="Arial"/>
          <w:sz w:val="24"/>
          <w:szCs w:val="24"/>
        </w:rPr>
        <w:t xml:space="preserve"> G, </w:t>
      </w:r>
      <w:proofErr w:type="spellStart"/>
      <w:r w:rsidRPr="003D069B">
        <w:rPr>
          <w:rFonts w:ascii="Arial" w:hAnsi="Arial" w:cs="Arial"/>
          <w:sz w:val="24"/>
          <w:szCs w:val="24"/>
        </w:rPr>
        <w:t>Sabaté</w:t>
      </w:r>
      <w:proofErr w:type="spellEnd"/>
      <w:r w:rsidRPr="003D069B">
        <w:rPr>
          <w:rFonts w:ascii="Arial" w:hAnsi="Arial" w:cs="Arial"/>
          <w:sz w:val="24"/>
          <w:szCs w:val="24"/>
        </w:rPr>
        <w:t>-</w:t>
      </w:r>
      <w:r w:rsidR="00855543" w:rsidRPr="003D069B">
        <w:rPr>
          <w:rFonts w:ascii="Arial" w:hAnsi="Arial" w:cs="Arial"/>
          <w:sz w:val="24"/>
          <w:szCs w:val="24"/>
        </w:rPr>
        <w:t>Gallego</w:t>
      </w:r>
      <w:r w:rsidRPr="003D069B">
        <w:rPr>
          <w:rFonts w:ascii="Arial" w:hAnsi="Arial" w:cs="Arial"/>
          <w:sz w:val="24"/>
          <w:szCs w:val="24"/>
        </w:rPr>
        <w:t xml:space="preserve"> M, Vidal-</w:t>
      </w:r>
      <w:proofErr w:type="spellStart"/>
      <w:r w:rsidR="00855543" w:rsidRPr="003D069B">
        <w:rPr>
          <w:rFonts w:ascii="Arial" w:hAnsi="Arial" w:cs="Arial"/>
          <w:sz w:val="24"/>
          <w:szCs w:val="24"/>
        </w:rPr>
        <w:t>Guitart</w:t>
      </w:r>
      <w:proofErr w:type="spellEnd"/>
      <w:r w:rsidRPr="003D069B">
        <w:rPr>
          <w:rFonts w:ascii="Arial" w:hAnsi="Arial" w:cs="Arial"/>
          <w:sz w:val="24"/>
          <w:szCs w:val="24"/>
        </w:rPr>
        <w:t xml:space="preserve"> X</w:t>
      </w:r>
      <w:r w:rsidR="00855543" w:rsidRPr="003D069B">
        <w:rPr>
          <w:rFonts w:ascii="Arial" w:hAnsi="Arial" w:cs="Arial"/>
          <w:sz w:val="24"/>
          <w:szCs w:val="24"/>
        </w:rPr>
        <w:t xml:space="preserve">, </w:t>
      </w:r>
      <w:r w:rsidRPr="003D069B">
        <w:rPr>
          <w:rFonts w:ascii="Arial" w:hAnsi="Arial" w:cs="Arial"/>
          <w:sz w:val="24"/>
          <w:szCs w:val="24"/>
        </w:rPr>
        <w:t>Ramos-</w:t>
      </w:r>
      <w:proofErr w:type="spellStart"/>
      <w:r w:rsidR="00855543" w:rsidRPr="003D069B">
        <w:rPr>
          <w:rFonts w:ascii="Arial" w:hAnsi="Arial" w:cs="Arial"/>
          <w:sz w:val="24"/>
          <w:szCs w:val="24"/>
        </w:rPr>
        <w:t>Terrades</w:t>
      </w:r>
      <w:proofErr w:type="spellEnd"/>
      <w:r w:rsidRPr="003D069B">
        <w:rPr>
          <w:rFonts w:ascii="Arial" w:hAnsi="Arial" w:cs="Arial"/>
          <w:sz w:val="24"/>
          <w:szCs w:val="24"/>
        </w:rPr>
        <w:t xml:space="preserve"> N</w:t>
      </w:r>
      <w:r w:rsidR="00855543" w:rsidRPr="003D069B">
        <w:rPr>
          <w:rFonts w:ascii="Arial" w:hAnsi="Arial" w:cs="Arial"/>
          <w:sz w:val="24"/>
          <w:szCs w:val="24"/>
        </w:rPr>
        <w:t>, de la Torre</w:t>
      </w:r>
      <w:r w:rsidRPr="003D069B">
        <w:rPr>
          <w:rFonts w:ascii="Arial" w:hAnsi="Arial" w:cs="Arial"/>
          <w:sz w:val="24"/>
          <w:szCs w:val="24"/>
        </w:rPr>
        <w:t xml:space="preserve"> J</w:t>
      </w:r>
      <w:r w:rsidR="00855543" w:rsidRPr="003D069B">
        <w:rPr>
          <w:rFonts w:ascii="Arial" w:hAnsi="Arial" w:cs="Arial"/>
          <w:sz w:val="24"/>
          <w:szCs w:val="24"/>
        </w:rPr>
        <w:t xml:space="preserve">. Insuﬁciencia renal aguda relacionada con medicamentos en pacientes hospitalizados. </w:t>
      </w:r>
      <w:proofErr w:type="spellStart"/>
      <w:r w:rsidR="00855543" w:rsidRPr="003D069B">
        <w:rPr>
          <w:rFonts w:ascii="Arial" w:hAnsi="Arial" w:cs="Arial"/>
          <w:sz w:val="24"/>
          <w:szCs w:val="24"/>
        </w:rPr>
        <w:t>Nefrologia</w:t>
      </w:r>
      <w:proofErr w:type="spellEnd"/>
      <w:r w:rsidR="00855543" w:rsidRPr="003D069B">
        <w:rPr>
          <w:rFonts w:ascii="Arial" w:hAnsi="Arial" w:cs="Arial"/>
          <w:sz w:val="24"/>
          <w:szCs w:val="24"/>
        </w:rPr>
        <w:t xml:space="preserve"> 20</w:t>
      </w:r>
      <w:r w:rsidR="000E5F31">
        <w:rPr>
          <w:rFonts w:ascii="Arial" w:hAnsi="Arial" w:cs="Arial"/>
          <w:sz w:val="24"/>
          <w:szCs w:val="24"/>
        </w:rPr>
        <w:t>22</w:t>
      </w:r>
      <w:proofErr w:type="gramStart"/>
      <w:r w:rsidR="00855543" w:rsidRPr="003D069B">
        <w:rPr>
          <w:rFonts w:ascii="Arial" w:hAnsi="Arial" w:cs="Arial"/>
          <w:sz w:val="24"/>
          <w:szCs w:val="24"/>
        </w:rPr>
        <w:t>;35</w:t>
      </w:r>
      <w:proofErr w:type="gramEnd"/>
      <w:r w:rsidR="00855543" w:rsidRPr="003D069B">
        <w:rPr>
          <w:rFonts w:ascii="Arial" w:hAnsi="Arial" w:cs="Arial"/>
          <w:sz w:val="24"/>
          <w:szCs w:val="24"/>
        </w:rPr>
        <w:t xml:space="preserve">(6):523-532. </w:t>
      </w:r>
      <w:hyperlink r:id="rId35" w:history="1">
        <w:r w:rsidR="00855543" w:rsidRPr="003D069B">
          <w:rPr>
            <w:rStyle w:val="Hipervnculo"/>
            <w:rFonts w:ascii="Arial" w:hAnsi="Arial" w:cs="Arial"/>
            <w:color w:val="auto"/>
            <w:sz w:val="24"/>
            <w:szCs w:val="24"/>
          </w:rPr>
          <w:t>www.revistanefrologia.com</w:t>
        </w:r>
      </w:hyperlink>
    </w:p>
    <w:p w:rsidR="001E737F" w:rsidRPr="003D069B" w:rsidRDefault="001E737F" w:rsidP="001E737F">
      <w:pPr>
        <w:pStyle w:val="Prrafodelista"/>
        <w:numPr>
          <w:ilvl w:val="0"/>
          <w:numId w:val="10"/>
        </w:numPr>
        <w:spacing w:line="360" w:lineRule="auto"/>
        <w:jc w:val="both"/>
        <w:rPr>
          <w:rFonts w:ascii="Arial" w:hAnsi="Arial" w:cs="Arial"/>
          <w:sz w:val="24"/>
          <w:szCs w:val="24"/>
          <w:lang w:val="en-US"/>
        </w:rPr>
      </w:pPr>
      <w:proofErr w:type="spellStart"/>
      <w:r w:rsidRPr="003D069B">
        <w:rPr>
          <w:rFonts w:ascii="Arial" w:hAnsi="Arial" w:cs="Arial"/>
          <w:sz w:val="24"/>
          <w:szCs w:val="24"/>
          <w:lang w:val="en-US"/>
        </w:rPr>
        <w:t>Schefold</w:t>
      </w:r>
      <w:proofErr w:type="spellEnd"/>
      <w:r w:rsidRPr="003D069B">
        <w:rPr>
          <w:rFonts w:ascii="Arial" w:hAnsi="Arial" w:cs="Arial"/>
          <w:sz w:val="24"/>
          <w:szCs w:val="24"/>
          <w:lang w:val="en-US"/>
        </w:rPr>
        <w:t xml:space="preserve"> J, von </w:t>
      </w:r>
      <w:proofErr w:type="spellStart"/>
      <w:r w:rsidRPr="003D069B">
        <w:rPr>
          <w:rFonts w:ascii="Arial" w:hAnsi="Arial" w:cs="Arial"/>
          <w:sz w:val="24"/>
          <w:szCs w:val="24"/>
          <w:lang w:val="en-US"/>
        </w:rPr>
        <w:t>Haehling</w:t>
      </w:r>
      <w:proofErr w:type="spellEnd"/>
      <w:r w:rsidRPr="003D069B">
        <w:rPr>
          <w:rFonts w:ascii="Arial" w:hAnsi="Arial" w:cs="Arial"/>
          <w:sz w:val="24"/>
          <w:szCs w:val="24"/>
          <w:lang w:val="en-US"/>
        </w:rPr>
        <w:t xml:space="preserve"> S, </w:t>
      </w:r>
      <w:proofErr w:type="spellStart"/>
      <w:r w:rsidRPr="003D069B">
        <w:rPr>
          <w:rFonts w:ascii="Arial" w:hAnsi="Arial" w:cs="Arial"/>
          <w:sz w:val="24"/>
          <w:szCs w:val="24"/>
          <w:lang w:val="en-US"/>
        </w:rPr>
        <w:t>Pschowski</w:t>
      </w:r>
      <w:proofErr w:type="spellEnd"/>
      <w:r w:rsidRPr="003D069B">
        <w:rPr>
          <w:rFonts w:ascii="Arial" w:hAnsi="Arial" w:cs="Arial"/>
          <w:sz w:val="24"/>
          <w:szCs w:val="24"/>
          <w:lang w:val="en-US"/>
        </w:rPr>
        <w:t xml:space="preserve"> R, Bender T, </w:t>
      </w:r>
      <w:proofErr w:type="spellStart"/>
      <w:r w:rsidRPr="003D069B">
        <w:rPr>
          <w:rFonts w:ascii="Arial" w:hAnsi="Arial" w:cs="Arial"/>
          <w:sz w:val="24"/>
          <w:szCs w:val="24"/>
          <w:lang w:val="en-US"/>
        </w:rPr>
        <w:t>Berkmann</w:t>
      </w:r>
      <w:proofErr w:type="spellEnd"/>
      <w:r w:rsidRPr="003D069B">
        <w:rPr>
          <w:rFonts w:ascii="Arial" w:hAnsi="Arial" w:cs="Arial"/>
          <w:sz w:val="24"/>
          <w:szCs w:val="24"/>
          <w:lang w:val="en-US"/>
        </w:rPr>
        <w:t xml:space="preserve"> C, </w:t>
      </w:r>
      <w:proofErr w:type="spellStart"/>
      <w:r w:rsidRPr="003D069B">
        <w:rPr>
          <w:rFonts w:ascii="Arial" w:hAnsi="Arial" w:cs="Arial"/>
          <w:sz w:val="24"/>
          <w:szCs w:val="24"/>
          <w:lang w:val="en-US"/>
        </w:rPr>
        <w:t>Jörres</w:t>
      </w:r>
      <w:proofErr w:type="spellEnd"/>
      <w:r w:rsidRPr="003D069B">
        <w:rPr>
          <w:rFonts w:ascii="Arial" w:hAnsi="Arial" w:cs="Arial"/>
          <w:sz w:val="24"/>
          <w:szCs w:val="24"/>
          <w:lang w:val="en-US"/>
        </w:rPr>
        <w:t xml:space="preserve"> A, et al. The effect of continuous versus intermittent renal replacement therapy on the outcome of critically ill patients with acute renal failure (CONVINT): a prospective randomized controlled trial. Critical Care (London, England) [serial o</w:t>
      </w:r>
      <w:r w:rsidR="000E5F31">
        <w:rPr>
          <w:rFonts w:ascii="Arial" w:hAnsi="Arial" w:cs="Arial"/>
          <w:sz w:val="24"/>
          <w:szCs w:val="24"/>
          <w:lang w:val="en-US"/>
        </w:rPr>
        <w:t>n the Internet]. (2014, Jan 10)</w:t>
      </w:r>
      <w:r w:rsidRPr="003D069B">
        <w:rPr>
          <w:rFonts w:ascii="Arial" w:hAnsi="Arial" w:cs="Arial"/>
          <w:sz w:val="24"/>
          <w:szCs w:val="24"/>
          <w:lang w:val="en-US"/>
        </w:rPr>
        <w:t xml:space="preserve">; 18(1): R11. </w:t>
      </w:r>
      <w:proofErr w:type="spellStart"/>
      <w:r w:rsidRPr="003D069B">
        <w:rPr>
          <w:rFonts w:ascii="Arial" w:hAnsi="Arial" w:cs="Arial"/>
          <w:sz w:val="24"/>
          <w:szCs w:val="24"/>
        </w:rPr>
        <w:t>Available</w:t>
      </w:r>
      <w:proofErr w:type="spellEnd"/>
      <w:r w:rsidRPr="003D069B">
        <w:rPr>
          <w:rFonts w:ascii="Arial" w:hAnsi="Arial" w:cs="Arial"/>
          <w:sz w:val="24"/>
          <w:szCs w:val="24"/>
        </w:rPr>
        <w:t xml:space="preserve"> </w:t>
      </w:r>
      <w:proofErr w:type="spellStart"/>
      <w:r w:rsidRPr="003D069B">
        <w:rPr>
          <w:rFonts w:ascii="Arial" w:hAnsi="Arial" w:cs="Arial"/>
          <w:sz w:val="24"/>
          <w:szCs w:val="24"/>
        </w:rPr>
        <w:t>from</w:t>
      </w:r>
      <w:proofErr w:type="spellEnd"/>
      <w:r w:rsidRPr="003D069B">
        <w:rPr>
          <w:rFonts w:ascii="Arial" w:hAnsi="Arial" w:cs="Arial"/>
          <w:sz w:val="24"/>
          <w:szCs w:val="24"/>
        </w:rPr>
        <w:t>: MEDLINE Complete.</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r w:rsidRPr="003D069B">
        <w:rPr>
          <w:rFonts w:ascii="Arial" w:hAnsi="Arial" w:cs="Arial"/>
          <w:sz w:val="24"/>
          <w:szCs w:val="24"/>
        </w:rPr>
        <w:lastRenderedPageBreak/>
        <w:t>Henríquez-Palop</w:t>
      </w:r>
      <w:r w:rsidR="00DB5883" w:rsidRPr="003D069B">
        <w:rPr>
          <w:rFonts w:ascii="Arial" w:hAnsi="Arial" w:cs="Arial"/>
          <w:sz w:val="24"/>
          <w:szCs w:val="24"/>
        </w:rPr>
        <w:t xml:space="preserve"> F</w:t>
      </w:r>
      <w:r w:rsidRPr="003D069B">
        <w:rPr>
          <w:rFonts w:ascii="Arial" w:hAnsi="Arial" w:cs="Arial"/>
          <w:sz w:val="24"/>
          <w:szCs w:val="24"/>
        </w:rPr>
        <w:t>, Antón-Pérez</w:t>
      </w:r>
      <w:r w:rsidR="00DB5883" w:rsidRPr="003D069B">
        <w:rPr>
          <w:rFonts w:ascii="Arial" w:hAnsi="Arial" w:cs="Arial"/>
          <w:sz w:val="24"/>
          <w:szCs w:val="24"/>
        </w:rPr>
        <w:t xml:space="preserve"> G</w:t>
      </w:r>
      <w:r w:rsidRPr="003D069B">
        <w:rPr>
          <w:rFonts w:ascii="Arial" w:hAnsi="Arial" w:cs="Arial"/>
          <w:sz w:val="24"/>
          <w:szCs w:val="24"/>
        </w:rPr>
        <w:t>, Marrero-</w:t>
      </w:r>
      <w:proofErr w:type="spellStart"/>
      <w:r w:rsidRPr="003D069B">
        <w:rPr>
          <w:rFonts w:ascii="Arial" w:hAnsi="Arial" w:cs="Arial"/>
          <w:sz w:val="24"/>
          <w:szCs w:val="24"/>
        </w:rPr>
        <w:t>Robayna</w:t>
      </w:r>
      <w:proofErr w:type="spellEnd"/>
      <w:r w:rsidR="00DB5883" w:rsidRPr="003D069B">
        <w:rPr>
          <w:rFonts w:ascii="Arial" w:hAnsi="Arial" w:cs="Arial"/>
          <w:sz w:val="24"/>
          <w:szCs w:val="24"/>
        </w:rPr>
        <w:t xml:space="preserve"> S</w:t>
      </w:r>
      <w:r w:rsidRPr="003D069B">
        <w:rPr>
          <w:rFonts w:ascii="Arial" w:hAnsi="Arial" w:cs="Arial"/>
          <w:sz w:val="24"/>
          <w:szCs w:val="24"/>
        </w:rPr>
        <w:t>, González-Cabrera</w:t>
      </w:r>
      <w:r w:rsidR="00DB5883" w:rsidRPr="003D069B">
        <w:rPr>
          <w:rFonts w:ascii="Arial" w:hAnsi="Arial" w:cs="Arial"/>
          <w:sz w:val="24"/>
          <w:szCs w:val="24"/>
        </w:rPr>
        <w:t xml:space="preserve"> F</w:t>
      </w:r>
      <w:r w:rsidRPr="003D069B">
        <w:rPr>
          <w:rFonts w:ascii="Arial" w:hAnsi="Arial" w:cs="Arial"/>
          <w:sz w:val="24"/>
          <w:szCs w:val="24"/>
        </w:rPr>
        <w:t>, Rodríguez-Pérez</w:t>
      </w:r>
      <w:r w:rsidR="00DB5883" w:rsidRPr="003D069B">
        <w:rPr>
          <w:rFonts w:ascii="Arial" w:hAnsi="Arial" w:cs="Arial"/>
          <w:sz w:val="24"/>
          <w:szCs w:val="24"/>
        </w:rPr>
        <w:t xml:space="preserve"> JC</w:t>
      </w:r>
      <w:r w:rsidRPr="003D069B">
        <w:rPr>
          <w:rFonts w:ascii="Arial" w:hAnsi="Arial" w:cs="Arial"/>
          <w:sz w:val="24"/>
          <w:szCs w:val="24"/>
        </w:rPr>
        <w:t xml:space="preserve">. </w:t>
      </w:r>
      <w:r w:rsidRPr="003D069B">
        <w:rPr>
          <w:rFonts w:ascii="Arial" w:hAnsi="Arial" w:cs="Arial"/>
          <w:sz w:val="24"/>
          <w:szCs w:val="24"/>
          <w:lang w:val="en-US"/>
        </w:rPr>
        <w:t xml:space="preserve">Water overload as a biomarker for heart failure and acute renal failure. </w:t>
      </w:r>
      <w:proofErr w:type="spellStart"/>
      <w:r w:rsidRPr="003D069B">
        <w:rPr>
          <w:rFonts w:ascii="Arial" w:hAnsi="Arial" w:cs="Arial"/>
          <w:sz w:val="24"/>
          <w:szCs w:val="24"/>
          <w:lang w:val="en-US"/>
        </w:rPr>
        <w:t>Nefrologia</w:t>
      </w:r>
      <w:proofErr w:type="spellEnd"/>
      <w:r w:rsidRPr="003D069B">
        <w:rPr>
          <w:rFonts w:ascii="Arial" w:hAnsi="Arial" w:cs="Arial"/>
          <w:sz w:val="24"/>
          <w:szCs w:val="24"/>
          <w:lang w:val="en-US"/>
        </w:rPr>
        <w:t xml:space="preserve"> 20</w:t>
      </w:r>
      <w:r w:rsidR="000E5F31">
        <w:rPr>
          <w:rFonts w:ascii="Arial" w:hAnsi="Arial" w:cs="Arial"/>
          <w:sz w:val="24"/>
          <w:szCs w:val="24"/>
          <w:lang w:val="en-US"/>
        </w:rPr>
        <w:t>21</w:t>
      </w:r>
      <w:proofErr w:type="gramStart"/>
      <w:r w:rsidRPr="003D069B">
        <w:rPr>
          <w:rFonts w:ascii="Arial" w:hAnsi="Arial" w:cs="Arial"/>
          <w:sz w:val="24"/>
          <w:szCs w:val="24"/>
          <w:lang w:val="en-US"/>
        </w:rPr>
        <w:t>;33</w:t>
      </w:r>
      <w:proofErr w:type="gramEnd"/>
      <w:r w:rsidRPr="003D069B">
        <w:rPr>
          <w:rFonts w:ascii="Arial" w:hAnsi="Arial" w:cs="Arial"/>
          <w:sz w:val="24"/>
          <w:szCs w:val="24"/>
          <w:lang w:val="en-US"/>
        </w:rPr>
        <w:t xml:space="preserve">(2):256-65. </w:t>
      </w:r>
    </w:p>
    <w:p w:rsidR="00BD6364" w:rsidRPr="003D069B" w:rsidRDefault="00A61036" w:rsidP="00BD6364">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Chávez-Hernández BH, Alcántara-</w:t>
      </w:r>
      <w:proofErr w:type="spellStart"/>
      <w:r w:rsidRPr="003D069B">
        <w:rPr>
          <w:rFonts w:ascii="Arial" w:hAnsi="Arial" w:cs="Arial"/>
          <w:sz w:val="24"/>
          <w:szCs w:val="24"/>
        </w:rPr>
        <w:t>Gress</w:t>
      </w:r>
      <w:proofErr w:type="spellEnd"/>
      <w:r w:rsidRPr="003D069B">
        <w:rPr>
          <w:rFonts w:ascii="Arial" w:hAnsi="Arial" w:cs="Arial"/>
          <w:sz w:val="24"/>
          <w:szCs w:val="24"/>
        </w:rPr>
        <w:t xml:space="preserve"> TD, Juárez-Pichardo JS,  </w:t>
      </w:r>
      <w:proofErr w:type="spellStart"/>
      <w:r w:rsidRPr="003D069B">
        <w:rPr>
          <w:rFonts w:ascii="Arial" w:hAnsi="Arial" w:cs="Arial"/>
          <w:sz w:val="24"/>
          <w:szCs w:val="24"/>
        </w:rPr>
        <w:t>Ulibarri</w:t>
      </w:r>
      <w:proofErr w:type="spellEnd"/>
      <w:r w:rsidRPr="003D069B">
        <w:rPr>
          <w:rFonts w:ascii="Arial" w:hAnsi="Arial" w:cs="Arial"/>
          <w:sz w:val="24"/>
          <w:szCs w:val="24"/>
        </w:rPr>
        <w:t xml:space="preserve">-Hernández A. Lineamientos diagnósticos y terapéuticos en el paciente con lesión renal aguda. Revisión basada en evidencia. </w:t>
      </w:r>
      <w:r w:rsidR="00BD6364" w:rsidRPr="003D069B">
        <w:rPr>
          <w:rFonts w:ascii="Arial" w:hAnsi="Arial" w:cs="Arial"/>
          <w:sz w:val="24"/>
          <w:szCs w:val="24"/>
        </w:rPr>
        <w:t>Vol.</w:t>
      </w:r>
      <w:r w:rsidR="000E5F31">
        <w:rPr>
          <w:rFonts w:ascii="Arial" w:hAnsi="Arial" w:cs="Arial"/>
          <w:sz w:val="24"/>
          <w:szCs w:val="24"/>
        </w:rPr>
        <w:t xml:space="preserve"> 40. No. 3 Julio-Septiembre 2022</w:t>
      </w:r>
      <w:r w:rsidR="00BD6364" w:rsidRPr="003D069B">
        <w:rPr>
          <w:rFonts w:ascii="Arial" w:hAnsi="Arial" w:cs="Arial"/>
          <w:sz w:val="24"/>
          <w:szCs w:val="24"/>
        </w:rPr>
        <w:t xml:space="preserve"> pp. 195-206. </w:t>
      </w:r>
      <w:hyperlink r:id="rId36" w:history="1">
        <w:r w:rsidR="00BD6364" w:rsidRPr="003D069B">
          <w:rPr>
            <w:rStyle w:val="Hipervnculo"/>
            <w:rFonts w:ascii="Arial" w:hAnsi="Arial" w:cs="Arial"/>
            <w:color w:val="auto"/>
            <w:sz w:val="24"/>
            <w:szCs w:val="24"/>
          </w:rPr>
          <w:t>www.medigraphic.com/rma</w:t>
        </w:r>
      </w:hyperlink>
    </w:p>
    <w:p w:rsidR="001F7C8D" w:rsidRPr="003D069B" w:rsidRDefault="001F7C8D" w:rsidP="001F7C8D">
      <w:pPr>
        <w:pStyle w:val="Prrafodelista"/>
        <w:numPr>
          <w:ilvl w:val="0"/>
          <w:numId w:val="10"/>
        </w:numPr>
        <w:spacing w:after="160" w:line="360" w:lineRule="auto"/>
        <w:jc w:val="both"/>
        <w:rPr>
          <w:rFonts w:ascii="Arial" w:hAnsi="Arial" w:cs="Arial"/>
          <w:sz w:val="24"/>
          <w:szCs w:val="24"/>
          <w:lang w:val="en-US"/>
        </w:rPr>
      </w:pPr>
      <w:r w:rsidRPr="003D069B">
        <w:rPr>
          <w:rFonts w:ascii="Arial" w:hAnsi="Arial" w:cs="Arial"/>
          <w:sz w:val="24"/>
          <w:szCs w:val="24"/>
        </w:rPr>
        <w:t>Vicente-Hernández B, Pérez-Beltrán CF, Rodríguez-Webber F, Díaz-</w:t>
      </w:r>
      <w:proofErr w:type="spellStart"/>
      <w:r w:rsidRPr="003D069B">
        <w:rPr>
          <w:rFonts w:ascii="Arial" w:hAnsi="Arial" w:cs="Arial"/>
          <w:sz w:val="24"/>
          <w:szCs w:val="24"/>
        </w:rPr>
        <w:t>Greene</w:t>
      </w:r>
      <w:proofErr w:type="spellEnd"/>
      <w:r w:rsidRPr="003D069B">
        <w:rPr>
          <w:rFonts w:ascii="Arial" w:hAnsi="Arial" w:cs="Arial"/>
          <w:sz w:val="24"/>
          <w:szCs w:val="24"/>
        </w:rPr>
        <w:t xml:space="preserve"> J. Lesión renal aguda en pacientes sometidos a </w:t>
      </w:r>
      <w:proofErr w:type="spellStart"/>
      <w:r w:rsidRPr="003D069B">
        <w:rPr>
          <w:rFonts w:ascii="Arial" w:hAnsi="Arial" w:cs="Arial"/>
          <w:sz w:val="24"/>
          <w:szCs w:val="24"/>
        </w:rPr>
        <w:t>apendicectomía</w:t>
      </w:r>
      <w:proofErr w:type="spellEnd"/>
      <w:r w:rsidRPr="003D069B">
        <w:rPr>
          <w:rFonts w:ascii="Arial" w:hAnsi="Arial" w:cs="Arial"/>
          <w:sz w:val="24"/>
          <w:szCs w:val="24"/>
        </w:rPr>
        <w:t xml:space="preserve">. </w:t>
      </w:r>
      <w:r w:rsidRPr="003D069B">
        <w:rPr>
          <w:rFonts w:ascii="Arial" w:hAnsi="Arial" w:cs="Arial"/>
          <w:sz w:val="24"/>
          <w:szCs w:val="24"/>
          <w:lang w:val="en-US"/>
        </w:rPr>
        <w:t xml:space="preserve">Med </w:t>
      </w:r>
      <w:proofErr w:type="spellStart"/>
      <w:r w:rsidRPr="003D069B">
        <w:rPr>
          <w:rFonts w:ascii="Arial" w:hAnsi="Arial" w:cs="Arial"/>
          <w:sz w:val="24"/>
          <w:szCs w:val="24"/>
          <w:lang w:val="en-US"/>
        </w:rPr>
        <w:t>Int</w:t>
      </w:r>
      <w:proofErr w:type="spellEnd"/>
      <w:r w:rsidRPr="003D069B">
        <w:rPr>
          <w:rFonts w:ascii="Arial" w:hAnsi="Arial" w:cs="Arial"/>
          <w:sz w:val="24"/>
          <w:szCs w:val="24"/>
          <w:lang w:val="en-US"/>
        </w:rPr>
        <w:t xml:space="preserve"> </w:t>
      </w:r>
      <w:proofErr w:type="spellStart"/>
      <w:r w:rsidRPr="003D069B">
        <w:rPr>
          <w:rFonts w:ascii="Arial" w:hAnsi="Arial" w:cs="Arial"/>
          <w:sz w:val="24"/>
          <w:szCs w:val="24"/>
          <w:lang w:val="en-US"/>
        </w:rPr>
        <w:t>Méx</w:t>
      </w:r>
      <w:proofErr w:type="spellEnd"/>
      <w:r w:rsidRPr="003D069B">
        <w:rPr>
          <w:rFonts w:ascii="Arial" w:hAnsi="Arial" w:cs="Arial"/>
          <w:sz w:val="24"/>
          <w:szCs w:val="24"/>
          <w:lang w:val="en-US"/>
        </w:rPr>
        <w:t>. 20</w:t>
      </w:r>
      <w:r w:rsidR="000E5F31">
        <w:rPr>
          <w:rFonts w:ascii="Arial" w:hAnsi="Arial" w:cs="Arial"/>
          <w:sz w:val="24"/>
          <w:szCs w:val="24"/>
          <w:lang w:val="en-US"/>
        </w:rPr>
        <w:t>22</w:t>
      </w:r>
      <w:r w:rsidRPr="003D069B">
        <w:rPr>
          <w:rFonts w:ascii="Arial" w:hAnsi="Arial" w:cs="Arial"/>
          <w:sz w:val="24"/>
          <w:szCs w:val="24"/>
          <w:lang w:val="en-US"/>
        </w:rPr>
        <w:t xml:space="preserve"> marzo</w:t>
      </w:r>
      <w:proofErr w:type="gramStart"/>
      <w:r w:rsidRPr="003D069B">
        <w:rPr>
          <w:rFonts w:ascii="Arial" w:hAnsi="Arial" w:cs="Arial"/>
          <w:sz w:val="24"/>
          <w:szCs w:val="24"/>
          <w:lang w:val="en-US"/>
        </w:rPr>
        <w:t>;33</w:t>
      </w:r>
      <w:proofErr w:type="gramEnd"/>
      <w:r w:rsidRPr="003D069B">
        <w:rPr>
          <w:rFonts w:ascii="Arial" w:hAnsi="Arial" w:cs="Arial"/>
          <w:sz w:val="24"/>
          <w:szCs w:val="24"/>
          <w:lang w:val="en-US"/>
        </w:rPr>
        <w:t xml:space="preserve">(2):151-158.  </w:t>
      </w:r>
      <w:hyperlink r:id="rId37" w:history="1">
        <w:r w:rsidRPr="003D069B">
          <w:rPr>
            <w:rStyle w:val="Hipervnculo"/>
            <w:rFonts w:ascii="Arial" w:hAnsi="Arial" w:cs="Arial"/>
            <w:color w:val="auto"/>
            <w:sz w:val="24"/>
            <w:szCs w:val="24"/>
            <w:lang w:val="en-US"/>
          </w:rPr>
          <w:t>www.medicinainterna.org.mx</w:t>
        </w:r>
      </w:hyperlink>
    </w:p>
    <w:p w:rsidR="00855543" w:rsidRPr="003D069B" w:rsidRDefault="001F7C8D" w:rsidP="001F7C8D">
      <w:pPr>
        <w:pStyle w:val="Prrafodelista"/>
        <w:numPr>
          <w:ilvl w:val="0"/>
          <w:numId w:val="10"/>
        </w:numPr>
        <w:spacing w:after="160" w:line="360" w:lineRule="auto"/>
        <w:jc w:val="both"/>
        <w:rPr>
          <w:rFonts w:ascii="Arial" w:hAnsi="Arial" w:cs="Arial"/>
          <w:sz w:val="24"/>
          <w:szCs w:val="24"/>
          <w:lang w:val="en-US"/>
        </w:rPr>
      </w:pPr>
      <w:r w:rsidRPr="003D069B">
        <w:rPr>
          <w:rFonts w:ascii="Arial" w:hAnsi="Arial" w:cs="Arial"/>
          <w:sz w:val="24"/>
          <w:szCs w:val="24"/>
          <w:lang w:val="en-US"/>
        </w:rPr>
        <w:t xml:space="preserve"> </w:t>
      </w:r>
      <w:r w:rsidR="00855543" w:rsidRPr="003D069B">
        <w:rPr>
          <w:rFonts w:ascii="Arial" w:hAnsi="Arial" w:cs="Arial"/>
          <w:sz w:val="24"/>
          <w:szCs w:val="24"/>
          <w:lang w:val="en-US"/>
        </w:rPr>
        <w:t xml:space="preserve">Doyle JF, </w:t>
      </w:r>
      <w:proofErr w:type="spellStart"/>
      <w:r w:rsidR="00855543" w:rsidRPr="003D069B">
        <w:rPr>
          <w:rFonts w:ascii="Arial" w:hAnsi="Arial" w:cs="Arial"/>
          <w:sz w:val="24"/>
          <w:szCs w:val="24"/>
          <w:lang w:val="en-US"/>
        </w:rPr>
        <w:t>Forni</w:t>
      </w:r>
      <w:proofErr w:type="spellEnd"/>
      <w:r w:rsidR="00855543" w:rsidRPr="003D069B">
        <w:rPr>
          <w:rFonts w:ascii="Arial" w:hAnsi="Arial" w:cs="Arial"/>
          <w:sz w:val="24"/>
          <w:szCs w:val="24"/>
          <w:lang w:val="en-US"/>
        </w:rPr>
        <w:t xml:space="preserve"> LG. Acute kidney injury: Short-term and long-term effects. </w:t>
      </w:r>
      <w:proofErr w:type="spellStart"/>
      <w:r w:rsidR="00855543" w:rsidRPr="003D069B">
        <w:rPr>
          <w:rFonts w:ascii="Arial" w:hAnsi="Arial" w:cs="Arial"/>
          <w:sz w:val="24"/>
          <w:szCs w:val="24"/>
          <w:lang w:val="en-US"/>
        </w:rPr>
        <w:t>Crit</w:t>
      </w:r>
      <w:proofErr w:type="spellEnd"/>
      <w:r w:rsidR="00855543" w:rsidRPr="003D069B">
        <w:rPr>
          <w:rFonts w:ascii="Arial" w:hAnsi="Arial" w:cs="Arial"/>
          <w:sz w:val="24"/>
          <w:szCs w:val="24"/>
          <w:lang w:val="en-US"/>
        </w:rPr>
        <w:t xml:space="preserve"> Care [serial on the Internet]. </w:t>
      </w:r>
      <w:proofErr w:type="gramStart"/>
      <w:r w:rsidR="00855543" w:rsidRPr="003D069B">
        <w:rPr>
          <w:rFonts w:ascii="Arial" w:hAnsi="Arial" w:cs="Arial"/>
          <w:sz w:val="24"/>
          <w:szCs w:val="24"/>
          <w:lang w:val="en-US"/>
        </w:rPr>
        <w:t>20</w:t>
      </w:r>
      <w:r w:rsidR="000E5F31">
        <w:rPr>
          <w:rFonts w:ascii="Arial" w:hAnsi="Arial" w:cs="Arial"/>
          <w:sz w:val="24"/>
          <w:szCs w:val="24"/>
          <w:lang w:val="en-US"/>
        </w:rPr>
        <w:t xml:space="preserve">21 </w:t>
      </w:r>
      <w:r w:rsidR="00855543" w:rsidRPr="003D069B">
        <w:rPr>
          <w:rFonts w:ascii="Arial" w:hAnsi="Arial" w:cs="Arial"/>
          <w:sz w:val="24"/>
          <w:szCs w:val="24"/>
          <w:lang w:val="en-US"/>
        </w:rPr>
        <w:t>;20:188</w:t>
      </w:r>
      <w:proofErr w:type="gramEnd"/>
      <w:r w:rsidR="00855543" w:rsidRPr="003D069B">
        <w:rPr>
          <w:rFonts w:ascii="Arial" w:hAnsi="Arial" w:cs="Arial"/>
          <w:sz w:val="24"/>
          <w:szCs w:val="24"/>
          <w:lang w:val="en-US"/>
        </w:rPr>
        <w:t xml:space="preserve">. Available from: </w:t>
      </w:r>
      <w:hyperlink r:id="rId38" w:history="1">
        <w:r w:rsidR="00855543" w:rsidRPr="003D069B">
          <w:rPr>
            <w:rStyle w:val="Hipervnculo"/>
            <w:rFonts w:ascii="Arial" w:hAnsi="Arial" w:cs="Arial"/>
            <w:color w:val="auto"/>
            <w:sz w:val="24"/>
            <w:szCs w:val="24"/>
            <w:lang w:val="tr-TR"/>
          </w:rPr>
          <w:t>http://refhub.elsevier.com/S0211-6995(17)30091-7/sbref0060</w:t>
        </w:r>
      </w:hyperlink>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tr-TR"/>
        </w:rPr>
      </w:pPr>
      <w:proofErr w:type="spellStart"/>
      <w:r w:rsidRPr="003D069B">
        <w:rPr>
          <w:rFonts w:ascii="Arial" w:hAnsi="Arial" w:cs="Arial"/>
          <w:sz w:val="24"/>
          <w:szCs w:val="24"/>
          <w:lang w:val="en-US"/>
        </w:rPr>
        <w:t>Aulagnon</w:t>
      </w:r>
      <w:proofErr w:type="spellEnd"/>
      <w:r w:rsidRPr="003D069B">
        <w:rPr>
          <w:rFonts w:ascii="Arial" w:hAnsi="Arial" w:cs="Arial"/>
          <w:sz w:val="24"/>
          <w:szCs w:val="24"/>
          <w:lang w:val="en-US"/>
        </w:rPr>
        <w:t xml:space="preserve"> F, </w:t>
      </w:r>
      <w:proofErr w:type="spellStart"/>
      <w:r w:rsidRPr="003D069B">
        <w:rPr>
          <w:rFonts w:ascii="Arial" w:hAnsi="Arial" w:cs="Arial"/>
          <w:sz w:val="24"/>
          <w:szCs w:val="24"/>
          <w:lang w:val="en-US"/>
        </w:rPr>
        <w:t>Scemla</w:t>
      </w:r>
      <w:proofErr w:type="spellEnd"/>
      <w:r w:rsidRPr="003D069B">
        <w:rPr>
          <w:rFonts w:ascii="Arial" w:hAnsi="Arial" w:cs="Arial"/>
          <w:sz w:val="24"/>
          <w:szCs w:val="24"/>
          <w:lang w:val="en-US"/>
        </w:rPr>
        <w:t xml:space="preserve"> A, </w:t>
      </w:r>
      <w:proofErr w:type="spellStart"/>
      <w:r w:rsidRPr="003D069B">
        <w:rPr>
          <w:rFonts w:ascii="Arial" w:hAnsi="Arial" w:cs="Arial"/>
          <w:sz w:val="24"/>
          <w:szCs w:val="24"/>
          <w:lang w:val="en-US"/>
        </w:rPr>
        <w:t>DeWolf</w:t>
      </w:r>
      <w:proofErr w:type="spellEnd"/>
      <w:r w:rsidRPr="003D069B">
        <w:rPr>
          <w:rFonts w:ascii="Arial" w:hAnsi="Arial" w:cs="Arial"/>
          <w:sz w:val="24"/>
          <w:szCs w:val="24"/>
          <w:lang w:val="en-US"/>
        </w:rPr>
        <w:t xml:space="preserve"> S, Legendre C, </w:t>
      </w:r>
      <w:proofErr w:type="spellStart"/>
      <w:r w:rsidRPr="003D069B">
        <w:rPr>
          <w:rFonts w:ascii="Arial" w:hAnsi="Arial" w:cs="Arial"/>
          <w:sz w:val="24"/>
          <w:szCs w:val="24"/>
          <w:lang w:val="en-US"/>
        </w:rPr>
        <w:t>Zuber</w:t>
      </w:r>
      <w:proofErr w:type="spellEnd"/>
      <w:r w:rsidRPr="003D069B">
        <w:rPr>
          <w:rFonts w:ascii="Arial" w:hAnsi="Arial" w:cs="Arial"/>
          <w:sz w:val="24"/>
          <w:szCs w:val="24"/>
          <w:lang w:val="en-US"/>
        </w:rPr>
        <w:t xml:space="preserve"> J. Diarrhea after kidney transplantation: A new look at frequent symptom. Transplantation [serial on the Internet]. 2014</w:t>
      </w:r>
      <w:proofErr w:type="gramStart"/>
      <w:r w:rsidRPr="003D069B">
        <w:rPr>
          <w:rFonts w:ascii="Arial" w:hAnsi="Arial" w:cs="Arial"/>
          <w:sz w:val="24"/>
          <w:szCs w:val="24"/>
          <w:lang w:val="en-US"/>
        </w:rPr>
        <w:t>;98:806</w:t>
      </w:r>
      <w:proofErr w:type="gramEnd"/>
      <w:r w:rsidRPr="003D069B">
        <w:rPr>
          <w:rFonts w:ascii="Arial" w:hAnsi="Arial" w:cs="Arial"/>
          <w:sz w:val="24"/>
          <w:szCs w:val="24"/>
          <w:lang w:val="en-US"/>
        </w:rPr>
        <w:t xml:space="preserve">–16. Available from: </w:t>
      </w:r>
      <w:hyperlink r:id="rId39" w:history="1">
        <w:r w:rsidRPr="003D069B">
          <w:rPr>
            <w:rStyle w:val="Hipervnculo"/>
            <w:rFonts w:ascii="Arial" w:hAnsi="Arial" w:cs="Arial"/>
            <w:color w:val="auto"/>
            <w:sz w:val="24"/>
            <w:szCs w:val="24"/>
            <w:lang w:val="tr-TR"/>
          </w:rPr>
          <w:t>http://refhub.elsevier.com/S0211-6995(16)30183-7/sbref0050</w:t>
        </w:r>
      </w:hyperlink>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lang w:val="en-US"/>
        </w:rPr>
      </w:pPr>
      <w:r w:rsidRPr="003D069B">
        <w:rPr>
          <w:rFonts w:ascii="Arial" w:hAnsi="Arial" w:cs="Arial"/>
          <w:sz w:val="24"/>
          <w:szCs w:val="24"/>
        </w:rPr>
        <w:t xml:space="preserve">Chacón A, </w:t>
      </w:r>
      <w:proofErr w:type="spellStart"/>
      <w:r w:rsidRPr="003D069B">
        <w:rPr>
          <w:rFonts w:ascii="Arial" w:hAnsi="Arial" w:cs="Arial"/>
          <w:sz w:val="24"/>
          <w:szCs w:val="24"/>
        </w:rPr>
        <w:t>Vilar</w:t>
      </w:r>
      <w:proofErr w:type="spellEnd"/>
      <w:r w:rsidRPr="003D069B">
        <w:rPr>
          <w:rFonts w:ascii="Arial" w:hAnsi="Arial" w:cs="Arial"/>
          <w:sz w:val="24"/>
          <w:szCs w:val="24"/>
        </w:rPr>
        <w:t xml:space="preserve"> A, Arroyo D, </w:t>
      </w:r>
      <w:proofErr w:type="spellStart"/>
      <w:r w:rsidRPr="003D069B">
        <w:rPr>
          <w:rFonts w:ascii="Arial" w:hAnsi="Arial" w:cs="Arial"/>
          <w:sz w:val="24"/>
          <w:szCs w:val="24"/>
        </w:rPr>
        <w:t>Sarró</w:t>
      </w:r>
      <w:proofErr w:type="spellEnd"/>
      <w:r w:rsidRPr="003D069B">
        <w:rPr>
          <w:rFonts w:ascii="Arial" w:hAnsi="Arial" w:cs="Arial"/>
          <w:sz w:val="24"/>
          <w:szCs w:val="24"/>
        </w:rPr>
        <w:t xml:space="preserve"> F, </w:t>
      </w:r>
      <w:proofErr w:type="spellStart"/>
      <w:r w:rsidRPr="003D069B">
        <w:rPr>
          <w:rFonts w:ascii="Arial" w:hAnsi="Arial" w:cs="Arial"/>
          <w:sz w:val="24"/>
          <w:szCs w:val="24"/>
        </w:rPr>
        <w:t>Craver</w:t>
      </w:r>
      <w:proofErr w:type="spellEnd"/>
      <w:r w:rsidRPr="003D069B">
        <w:rPr>
          <w:rFonts w:ascii="Arial" w:hAnsi="Arial" w:cs="Arial"/>
          <w:sz w:val="24"/>
          <w:szCs w:val="24"/>
        </w:rPr>
        <w:t xml:space="preserve"> L, Fernández-</w:t>
      </w:r>
      <w:proofErr w:type="spellStart"/>
      <w:r w:rsidRPr="003D069B">
        <w:rPr>
          <w:rFonts w:ascii="Arial" w:hAnsi="Arial" w:cs="Arial"/>
          <w:sz w:val="24"/>
          <w:szCs w:val="24"/>
        </w:rPr>
        <w:t>Giráldez</w:t>
      </w:r>
      <w:proofErr w:type="spellEnd"/>
      <w:r w:rsidRPr="003D069B">
        <w:rPr>
          <w:rFonts w:ascii="Arial" w:hAnsi="Arial" w:cs="Arial"/>
          <w:sz w:val="24"/>
          <w:szCs w:val="24"/>
        </w:rPr>
        <w:t xml:space="preserve"> E, et al. Fracaso renal agudo secundario a crisis de hipercalcemia muy severa por hiperparatiroidismo primario. </w:t>
      </w:r>
      <w:r w:rsidRPr="003D069B">
        <w:rPr>
          <w:rFonts w:ascii="Arial" w:hAnsi="Arial" w:cs="Arial"/>
          <w:sz w:val="24"/>
          <w:szCs w:val="24"/>
          <w:lang w:val="en-US"/>
        </w:rPr>
        <w:t xml:space="preserve">(Spanish). Nefrologia [serial on the Internet]. </w:t>
      </w:r>
      <w:proofErr w:type="gramStart"/>
      <w:r w:rsidRPr="003D069B">
        <w:rPr>
          <w:rFonts w:ascii="Arial" w:hAnsi="Arial" w:cs="Arial"/>
          <w:sz w:val="24"/>
          <w:szCs w:val="24"/>
          <w:lang w:val="en-US"/>
        </w:rPr>
        <w:t>20</w:t>
      </w:r>
      <w:r w:rsidR="000E5F31">
        <w:rPr>
          <w:rFonts w:ascii="Arial" w:hAnsi="Arial" w:cs="Arial"/>
          <w:sz w:val="24"/>
          <w:szCs w:val="24"/>
          <w:lang w:val="en-US"/>
        </w:rPr>
        <w:t>22,</w:t>
      </w:r>
      <w:proofErr w:type="gramEnd"/>
      <w:r w:rsidR="000E5F31">
        <w:rPr>
          <w:rFonts w:ascii="Arial" w:hAnsi="Arial" w:cs="Arial"/>
          <w:sz w:val="24"/>
          <w:szCs w:val="24"/>
          <w:lang w:val="en-US"/>
        </w:rPr>
        <w:t xml:space="preserve"> Mar</w:t>
      </w:r>
      <w:r w:rsidRPr="003D069B">
        <w:rPr>
          <w:rFonts w:ascii="Arial" w:hAnsi="Arial" w:cs="Arial"/>
          <w:sz w:val="24"/>
          <w:szCs w:val="24"/>
          <w:lang w:val="en-US"/>
        </w:rPr>
        <w:t xml:space="preserve">; 35(2): 224-226. Available from: </w:t>
      </w:r>
      <w:proofErr w:type="spellStart"/>
      <w:r w:rsidRPr="003D069B">
        <w:rPr>
          <w:rFonts w:ascii="Arial" w:hAnsi="Arial" w:cs="Arial"/>
          <w:sz w:val="24"/>
          <w:szCs w:val="24"/>
          <w:lang w:val="en-US"/>
        </w:rPr>
        <w:t>MedicLatina</w:t>
      </w:r>
      <w:proofErr w:type="spellEnd"/>
      <w:r w:rsidRPr="003D069B">
        <w:rPr>
          <w:rFonts w:ascii="Arial" w:hAnsi="Arial" w:cs="Arial"/>
          <w:sz w:val="24"/>
          <w:szCs w:val="24"/>
          <w:lang w:val="en-US"/>
        </w:rPr>
        <w:t>.</w:t>
      </w:r>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 xml:space="preserve">Meza-Ayala CM, Edgar Dehesa-López E. Factores asociados con lesión renal aguda en pacientes hospitalizados con diagnóstico de insuficiencia cardiaca agudizada. </w:t>
      </w:r>
      <w:proofErr w:type="spellStart"/>
      <w:r w:rsidRPr="003D069B">
        <w:rPr>
          <w:rFonts w:ascii="Arial" w:hAnsi="Arial" w:cs="Arial"/>
          <w:sz w:val="24"/>
          <w:szCs w:val="24"/>
        </w:rPr>
        <w:t>Med</w:t>
      </w:r>
      <w:proofErr w:type="spellEnd"/>
      <w:r w:rsidRPr="003D069B">
        <w:rPr>
          <w:rFonts w:ascii="Arial" w:hAnsi="Arial" w:cs="Arial"/>
          <w:sz w:val="24"/>
          <w:szCs w:val="24"/>
        </w:rPr>
        <w:t xml:space="preserve"> </w:t>
      </w:r>
      <w:proofErr w:type="spellStart"/>
      <w:r w:rsidRPr="003D069B">
        <w:rPr>
          <w:rFonts w:ascii="Arial" w:hAnsi="Arial" w:cs="Arial"/>
          <w:sz w:val="24"/>
          <w:szCs w:val="24"/>
        </w:rPr>
        <w:t>Int</w:t>
      </w:r>
      <w:proofErr w:type="spellEnd"/>
      <w:r w:rsidRPr="003D069B">
        <w:rPr>
          <w:rFonts w:ascii="Arial" w:hAnsi="Arial" w:cs="Arial"/>
          <w:sz w:val="24"/>
          <w:szCs w:val="24"/>
        </w:rPr>
        <w:t xml:space="preserve"> </w:t>
      </w:r>
      <w:proofErr w:type="spellStart"/>
      <w:r w:rsidRPr="003D069B">
        <w:rPr>
          <w:rFonts w:ascii="Arial" w:hAnsi="Arial" w:cs="Arial"/>
          <w:sz w:val="24"/>
          <w:szCs w:val="24"/>
        </w:rPr>
        <w:t>Méx</w:t>
      </w:r>
      <w:proofErr w:type="spellEnd"/>
      <w:r w:rsidRPr="003D069B">
        <w:rPr>
          <w:rFonts w:ascii="Arial" w:hAnsi="Arial" w:cs="Arial"/>
          <w:sz w:val="24"/>
          <w:szCs w:val="24"/>
        </w:rPr>
        <w:t>. 2018 enero</w:t>
      </w:r>
      <w:proofErr w:type="gramStart"/>
      <w:r w:rsidRPr="003D069B">
        <w:rPr>
          <w:rFonts w:ascii="Arial" w:hAnsi="Arial" w:cs="Arial"/>
          <w:sz w:val="24"/>
          <w:szCs w:val="24"/>
        </w:rPr>
        <w:t>;34</w:t>
      </w:r>
      <w:proofErr w:type="gramEnd"/>
      <w:r w:rsidRPr="003D069B">
        <w:rPr>
          <w:rFonts w:ascii="Arial" w:hAnsi="Arial" w:cs="Arial"/>
          <w:sz w:val="24"/>
          <w:szCs w:val="24"/>
        </w:rPr>
        <w:t xml:space="preserve">(1):19-28. </w:t>
      </w:r>
      <w:hyperlink r:id="rId40" w:history="1">
        <w:r w:rsidRPr="003D069B">
          <w:rPr>
            <w:rStyle w:val="Hipervnculo"/>
            <w:rFonts w:ascii="Arial" w:hAnsi="Arial" w:cs="Arial"/>
            <w:color w:val="auto"/>
            <w:sz w:val="24"/>
            <w:szCs w:val="24"/>
          </w:rPr>
          <w:t>www.medicinainterna.org.mx</w:t>
        </w:r>
      </w:hyperlink>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Torregrosa</w:t>
      </w:r>
      <w:r w:rsidR="003F7FD2" w:rsidRPr="003D069B">
        <w:rPr>
          <w:rFonts w:ascii="Arial" w:hAnsi="Arial" w:cs="Arial"/>
          <w:sz w:val="24"/>
          <w:szCs w:val="24"/>
        </w:rPr>
        <w:t xml:space="preserve"> I</w:t>
      </w:r>
      <w:r w:rsidRPr="003D069B">
        <w:rPr>
          <w:rFonts w:ascii="Arial" w:hAnsi="Arial" w:cs="Arial"/>
          <w:sz w:val="24"/>
          <w:szCs w:val="24"/>
        </w:rPr>
        <w:t xml:space="preserve">, </w:t>
      </w:r>
      <w:proofErr w:type="spellStart"/>
      <w:r w:rsidRPr="003D069B">
        <w:rPr>
          <w:rFonts w:ascii="Arial" w:hAnsi="Arial" w:cs="Arial"/>
          <w:sz w:val="24"/>
          <w:szCs w:val="24"/>
        </w:rPr>
        <w:t>Montoliu</w:t>
      </w:r>
      <w:proofErr w:type="spellEnd"/>
      <w:r w:rsidR="003F7FD2" w:rsidRPr="003D069B">
        <w:rPr>
          <w:rFonts w:ascii="Arial" w:hAnsi="Arial" w:cs="Arial"/>
          <w:sz w:val="24"/>
          <w:szCs w:val="24"/>
        </w:rPr>
        <w:t xml:space="preserve"> C</w:t>
      </w:r>
      <w:r w:rsidRPr="003D069B">
        <w:rPr>
          <w:rFonts w:ascii="Arial" w:hAnsi="Arial" w:cs="Arial"/>
          <w:sz w:val="24"/>
          <w:szCs w:val="24"/>
        </w:rPr>
        <w:t xml:space="preserve">, </w:t>
      </w:r>
      <w:proofErr w:type="spellStart"/>
      <w:r w:rsidRPr="003D069B">
        <w:rPr>
          <w:rFonts w:ascii="Arial" w:hAnsi="Arial" w:cs="Arial"/>
          <w:sz w:val="24"/>
          <w:szCs w:val="24"/>
        </w:rPr>
        <w:t>Urios</w:t>
      </w:r>
      <w:proofErr w:type="spellEnd"/>
      <w:r w:rsidR="003F7FD2" w:rsidRPr="003D069B">
        <w:rPr>
          <w:rFonts w:ascii="Arial" w:hAnsi="Arial" w:cs="Arial"/>
          <w:sz w:val="24"/>
          <w:szCs w:val="24"/>
        </w:rPr>
        <w:t xml:space="preserve"> A</w:t>
      </w:r>
      <w:r w:rsidRPr="003D069B">
        <w:rPr>
          <w:rFonts w:ascii="Arial" w:hAnsi="Arial" w:cs="Arial"/>
          <w:sz w:val="24"/>
          <w:szCs w:val="24"/>
        </w:rPr>
        <w:t>,  Giménez-</w:t>
      </w:r>
      <w:proofErr w:type="spellStart"/>
      <w:r w:rsidRPr="003D069B">
        <w:rPr>
          <w:rFonts w:ascii="Arial" w:hAnsi="Arial" w:cs="Arial"/>
          <w:sz w:val="24"/>
          <w:szCs w:val="24"/>
        </w:rPr>
        <w:t>Garzó</w:t>
      </w:r>
      <w:proofErr w:type="spellEnd"/>
      <w:r w:rsidR="003F7FD2" w:rsidRPr="003D069B">
        <w:rPr>
          <w:rFonts w:ascii="Arial" w:hAnsi="Arial" w:cs="Arial"/>
          <w:sz w:val="24"/>
          <w:szCs w:val="24"/>
        </w:rPr>
        <w:t xml:space="preserve"> C</w:t>
      </w:r>
      <w:r w:rsidRPr="003D069B">
        <w:rPr>
          <w:rFonts w:ascii="Arial" w:hAnsi="Arial" w:cs="Arial"/>
          <w:sz w:val="24"/>
          <w:szCs w:val="24"/>
        </w:rPr>
        <w:t>, Tomás</w:t>
      </w:r>
      <w:r w:rsidR="003F7FD2" w:rsidRPr="003D069B">
        <w:rPr>
          <w:rFonts w:ascii="Arial" w:hAnsi="Arial" w:cs="Arial"/>
          <w:sz w:val="24"/>
          <w:szCs w:val="24"/>
        </w:rPr>
        <w:t xml:space="preserve"> P</w:t>
      </w:r>
      <w:r w:rsidRPr="003D069B">
        <w:rPr>
          <w:rFonts w:ascii="Arial" w:hAnsi="Arial" w:cs="Arial"/>
          <w:sz w:val="24"/>
          <w:szCs w:val="24"/>
        </w:rPr>
        <w:t>, Solís</w:t>
      </w:r>
      <w:r w:rsidR="003F7FD2" w:rsidRPr="003D069B">
        <w:rPr>
          <w:rFonts w:ascii="Arial" w:hAnsi="Arial" w:cs="Arial"/>
          <w:sz w:val="24"/>
          <w:szCs w:val="24"/>
        </w:rPr>
        <w:t xml:space="preserve"> M</w:t>
      </w:r>
      <w:r w:rsidRPr="003D069B">
        <w:rPr>
          <w:rFonts w:ascii="Arial" w:hAnsi="Arial" w:cs="Arial"/>
          <w:sz w:val="24"/>
          <w:szCs w:val="24"/>
        </w:rPr>
        <w:t xml:space="preserve">. </w:t>
      </w:r>
      <w:proofErr w:type="spellStart"/>
      <w:r w:rsidRPr="003D069B">
        <w:rPr>
          <w:rFonts w:ascii="Arial" w:hAnsi="Arial" w:cs="Arial"/>
          <w:sz w:val="24"/>
          <w:szCs w:val="24"/>
        </w:rPr>
        <w:t>Klotho</w:t>
      </w:r>
      <w:proofErr w:type="spellEnd"/>
      <w:r w:rsidRPr="003D069B">
        <w:rPr>
          <w:rFonts w:ascii="Arial" w:hAnsi="Arial" w:cs="Arial"/>
          <w:sz w:val="24"/>
          <w:szCs w:val="24"/>
        </w:rPr>
        <w:t xml:space="preserve"> urinario determinado por ELISA  como biomarcador precoz de fracaso renal agudo en pacientes sometidos a cirugía cardiaca  o angiografía coronaria. NEFROLOGIA 20</w:t>
      </w:r>
      <w:r w:rsidR="000E5F31">
        <w:rPr>
          <w:rFonts w:ascii="Arial" w:hAnsi="Arial" w:cs="Arial"/>
          <w:sz w:val="24"/>
          <w:szCs w:val="24"/>
        </w:rPr>
        <w:t>21</w:t>
      </w:r>
      <w:r w:rsidRPr="003D069B">
        <w:rPr>
          <w:rFonts w:ascii="Arial" w:hAnsi="Arial" w:cs="Arial"/>
          <w:sz w:val="24"/>
          <w:szCs w:val="24"/>
        </w:rPr>
        <w:t xml:space="preserve">; 35(2):172-178. </w:t>
      </w:r>
      <w:hyperlink r:id="rId41" w:history="1">
        <w:r w:rsidRPr="003D069B">
          <w:rPr>
            <w:rStyle w:val="Hipervnculo"/>
            <w:rFonts w:ascii="Arial" w:hAnsi="Arial" w:cs="Arial"/>
            <w:color w:val="auto"/>
            <w:sz w:val="24"/>
            <w:szCs w:val="24"/>
          </w:rPr>
          <w:t>www.revistanefrologia.com</w:t>
        </w:r>
      </w:hyperlink>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Candela-</w:t>
      </w:r>
      <w:proofErr w:type="spellStart"/>
      <w:r w:rsidRPr="003D069B">
        <w:rPr>
          <w:rFonts w:ascii="Arial" w:hAnsi="Arial" w:cs="Arial"/>
          <w:sz w:val="24"/>
          <w:szCs w:val="24"/>
        </w:rPr>
        <w:t>Toha</w:t>
      </w:r>
      <w:proofErr w:type="spellEnd"/>
      <w:r w:rsidR="003F7FD2" w:rsidRPr="003D069B">
        <w:rPr>
          <w:rFonts w:ascii="Arial" w:hAnsi="Arial" w:cs="Arial"/>
          <w:sz w:val="24"/>
          <w:szCs w:val="24"/>
        </w:rPr>
        <w:t xml:space="preserve"> A</w:t>
      </w:r>
      <w:r w:rsidRPr="003D069B">
        <w:rPr>
          <w:rFonts w:ascii="Arial" w:hAnsi="Arial" w:cs="Arial"/>
          <w:sz w:val="24"/>
          <w:szCs w:val="24"/>
        </w:rPr>
        <w:t>, Pardo</w:t>
      </w:r>
      <w:r w:rsidR="003F7FD2" w:rsidRPr="003D069B">
        <w:rPr>
          <w:rFonts w:ascii="Arial" w:hAnsi="Arial" w:cs="Arial"/>
          <w:sz w:val="24"/>
          <w:szCs w:val="24"/>
        </w:rPr>
        <w:t xml:space="preserve"> M</w:t>
      </w:r>
      <w:r w:rsidRPr="003D069B">
        <w:rPr>
          <w:rFonts w:ascii="Arial" w:hAnsi="Arial" w:cs="Arial"/>
          <w:sz w:val="24"/>
          <w:szCs w:val="24"/>
        </w:rPr>
        <w:t>, Pérez</w:t>
      </w:r>
      <w:r w:rsidR="003F7FD2" w:rsidRPr="003D069B">
        <w:rPr>
          <w:rFonts w:ascii="Arial" w:hAnsi="Arial" w:cs="Arial"/>
          <w:sz w:val="24"/>
          <w:szCs w:val="24"/>
        </w:rPr>
        <w:t xml:space="preserve"> T</w:t>
      </w:r>
      <w:r w:rsidRPr="003D069B">
        <w:rPr>
          <w:rFonts w:ascii="Arial" w:hAnsi="Arial" w:cs="Arial"/>
          <w:sz w:val="24"/>
          <w:szCs w:val="24"/>
        </w:rPr>
        <w:t>, Muriel</w:t>
      </w:r>
      <w:r w:rsidR="003F7FD2" w:rsidRPr="003D069B">
        <w:rPr>
          <w:rFonts w:ascii="Arial" w:hAnsi="Arial" w:cs="Arial"/>
          <w:sz w:val="24"/>
          <w:szCs w:val="24"/>
        </w:rPr>
        <w:t xml:space="preserve"> A</w:t>
      </w:r>
      <w:r w:rsidRPr="003D069B">
        <w:rPr>
          <w:rFonts w:ascii="Arial" w:hAnsi="Arial" w:cs="Arial"/>
          <w:sz w:val="24"/>
          <w:szCs w:val="24"/>
        </w:rPr>
        <w:t>, Zamora</w:t>
      </w:r>
      <w:r w:rsidR="003F7FD2" w:rsidRPr="003D069B">
        <w:rPr>
          <w:rFonts w:ascii="Arial" w:hAnsi="Arial" w:cs="Arial"/>
          <w:sz w:val="24"/>
          <w:szCs w:val="24"/>
        </w:rPr>
        <w:t xml:space="preserve"> J</w:t>
      </w:r>
      <w:r w:rsidRPr="003D069B">
        <w:rPr>
          <w:rFonts w:ascii="Arial" w:hAnsi="Arial" w:cs="Arial"/>
          <w:sz w:val="24"/>
          <w:szCs w:val="24"/>
        </w:rPr>
        <w:t xml:space="preserve">. La tasa de </w:t>
      </w:r>
      <w:proofErr w:type="spellStart"/>
      <w:r w:rsidRPr="003D069B">
        <w:rPr>
          <w:rFonts w:ascii="Arial" w:hAnsi="Arial" w:cs="Arial"/>
          <w:sz w:val="24"/>
          <w:szCs w:val="24"/>
        </w:rPr>
        <w:t>ﬁltrado</w:t>
      </w:r>
      <w:proofErr w:type="spellEnd"/>
      <w:r w:rsidRPr="003D069B">
        <w:rPr>
          <w:rFonts w:ascii="Arial" w:hAnsi="Arial" w:cs="Arial"/>
          <w:sz w:val="24"/>
          <w:szCs w:val="24"/>
        </w:rPr>
        <w:t xml:space="preserve"> glomerular estimada es un biomarcador precoz de la insuﬁciencia renal aguda </w:t>
      </w:r>
      <w:r w:rsidRPr="003D069B">
        <w:rPr>
          <w:rFonts w:ascii="Arial" w:hAnsi="Arial" w:cs="Arial"/>
          <w:sz w:val="24"/>
          <w:szCs w:val="24"/>
        </w:rPr>
        <w:lastRenderedPageBreak/>
        <w:t>asociada a la cirugía cardíaca. Nefrologia 2018</w:t>
      </w:r>
      <w:proofErr w:type="gramStart"/>
      <w:r w:rsidRPr="003D069B">
        <w:rPr>
          <w:rFonts w:ascii="Arial" w:hAnsi="Arial" w:cs="Arial"/>
          <w:sz w:val="24"/>
          <w:szCs w:val="24"/>
        </w:rPr>
        <w:t>;38</w:t>
      </w:r>
      <w:proofErr w:type="gramEnd"/>
      <w:r w:rsidRPr="003D069B">
        <w:rPr>
          <w:rFonts w:ascii="Arial" w:hAnsi="Arial" w:cs="Arial"/>
          <w:sz w:val="24"/>
          <w:szCs w:val="24"/>
        </w:rPr>
        <w:t xml:space="preserve">(6):596-605. </w:t>
      </w:r>
      <w:hyperlink r:id="rId42" w:history="1">
        <w:r w:rsidRPr="003D069B">
          <w:rPr>
            <w:rStyle w:val="Hipervnculo"/>
            <w:rFonts w:ascii="Arial" w:hAnsi="Arial" w:cs="Arial"/>
            <w:color w:val="auto"/>
            <w:sz w:val="24"/>
            <w:szCs w:val="24"/>
          </w:rPr>
          <w:t>www.revistanefrologia.com</w:t>
        </w:r>
      </w:hyperlink>
    </w:p>
    <w:p w:rsidR="00855543" w:rsidRPr="003D069B" w:rsidRDefault="00855543" w:rsidP="00855543">
      <w:pPr>
        <w:pStyle w:val="Prrafodelista"/>
        <w:numPr>
          <w:ilvl w:val="0"/>
          <w:numId w:val="10"/>
        </w:numPr>
        <w:spacing w:after="160" w:line="360" w:lineRule="auto"/>
        <w:ind w:left="284" w:hanging="284"/>
        <w:jc w:val="both"/>
        <w:rPr>
          <w:rFonts w:ascii="Arial" w:hAnsi="Arial" w:cs="Arial"/>
          <w:sz w:val="24"/>
          <w:szCs w:val="24"/>
        </w:rPr>
      </w:pPr>
      <w:r w:rsidRPr="003D069B">
        <w:rPr>
          <w:rFonts w:ascii="Arial" w:hAnsi="Arial" w:cs="Arial"/>
          <w:sz w:val="24"/>
          <w:szCs w:val="24"/>
        </w:rPr>
        <w:t>Rovira</w:t>
      </w:r>
      <w:r w:rsidR="003F7FD2" w:rsidRPr="003D069B">
        <w:rPr>
          <w:rFonts w:ascii="Arial" w:hAnsi="Arial" w:cs="Arial"/>
          <w:sz w:val="24"/>
          <w:szCs w:val="24"/>
        </w:rPr>
        <w:t xml:space="preserve"> J</w:t>
      </w:r>
      <w:r w:rsidRPr="003D069B">
        <w:rPr>
          <w:rFonts w:ascii="Arial" w:hAnsi="Arial" w:cs="Arial"/>
          <w:sz w:val="24"/>
          <w:szCs w:val="24"/>
        </w:rPr>
        <w:t xml:space="preserve">, </w:t>
      </w:r>
      <w:proofErr w:type="spellStart"/>
      <w:r w:rsidR="003F7FD2" w:rsidRPr="003D069B">
        <w:rPr>
          <w:rFonts w:ascii="Arial" w:hAnsi="Arial" w:cs="Arial"/>
          <w:sz w:val="24"/>
          <w:szCs w:val="24"/>
        </w:rPr>
        <w:t>Diekmann</w:t>
      </w:r>
      <w:proofErr w:type="spellEnd"/>
      <w:r w:rsidR="003F7FD2" w:rsidRPr="003D069B">
        <w:rPr>
          <w:rFonts w:ascii="Arial" w:hAnsi="Arial" w:cs="Arial"/>
          <w:sz w:val="24"/>
          <w:szCs w:val="24"/>
        </w:rPr>
        <w:t xml:space="preserve"> F</w:t>
      </w:r>
      <w:r w:rsidRPr="003D069B">
        <w:rPr>
          <w:rFonts w:ascii="Arial" w:hAnsi="Arial" w:cs="Arial"/>
          <w:sz w:val="24"/>
          <w:szCs w:val="24"/>
        </w:rPr>
        <w:t xml:space="preserve">, </w:t>
      </w:r>
      <w:proofErr w:type="spellStart"/>
      <w:r w:rsidR="003F7FD2" w:rsidRPr="003D069B">
        <w:rPr>
          <w:rFonts w:ascii="Arial" w:hAnsi="Arial" w:cs="Arial"/>
          <w:sz w:val="24"/>
          <w:szCs w:val="24"/>
        </w:rPr>
        <w:t>Campistol</w:t>
      </w:r>
      <w:proofErr w:type="spellEnd"/>
      <w:r w:rsidR="003F7FD2" w:rsidRPr="003D069B">
        <w:rPr>
          <w:rFonts w:ascii="Arial" w:hAnsi="Arial" w:cs="Arial"/>
          <w:sz w:val="24"/>
          <w:szCs w:val="24"/>
        </w:rPr>
        <w:t xml:space="preserve"> J</w:t>
      </w:r>
      <w:r w:rsidRPr="003D069B">
        <w:rPr>
          <w:rFonts w:ascii="Arial" w:hAnsi="Arial" w:cs="Arial"/>
          <w:sz w:val="24"/>
          <w:szCs w:val="24"/>
        </w:rPr>
        <w:t>,  Ramírez-Bajo</w:t>
      </w:r>
      <w:r w:rsidR="003F7FD2" w:rsidRPr="003D069B">
        <w:rPr>
          <w:rFonts w:ascii="Arial" w:hAnsi="Arial" w:cs="Arial"/>
          <w:sz w:val="24"/>
          <w:szCs w:val="24"/>
        </w:rPr>
        <w:t xml:space="preserve"> M</w:t>
      </w:r>
      <w:r w:rsidRPr="003D069B">
        <w:rPr>
          <w:rFonts w:ascii="Arial" w:hAnsi="Arial" w:cs="Arial"/>
          <w:sz w:val="24"/>
          <w:szCs w:val="24"/>
        </w:rPr>
        <w:t>. Uso terapéutico de las vesículas extracelulares en insuficiencia renal aguda y crónica. Nefrologia 2017</w:t>
      </w:r>
      <w:proofErr w:type="gramStart"/>
      <w:r w:rsidRPr="003D069B">
        <w:rPr>
          <w:rFonts w:ascii="Arial" w:hAnsi="Arial" w:cs="Arial"/>
          <w:sz w:val="24"/>
          <w:szCs w:val="24"/>
        </w:rPr>
        <w:t>;37</w:t>
      </w:r>
      <w:proofErr w:type="gramEnd"/>
      <w:r w:rsidRPr="003D069B">
        <w:rPr>
          <w:rFonts w:ascii="Arial" w:hAnsi="Arial" w:cs="Arial"/>
          <w:sz w:val="24"/>
          <w:szCs w:val="24"/>
        </w:rPr>
        <w:t xml:space="preserve">(2):126-137. </w:t>
      </w:r>
    </w:p>
    <w:p w:rsidR="00DC5F1E" w:rsidRDefault="00DC5F1E" w:rsidP="00DC5F1E">
      <w:pPr>
        <w:spacing w:after="160" w:line="360" w:lineRule="auto"/>
        <w:jc w:val="both"/>
        <w:rPr>
          <w:rFonts w:ascii="Arial" w:hAnsi="Arial" w:cs="Arial"/>
          <w:sz w:val="24"/>
          <w:szCs w:val="24"/>
        </w:rPr>
      </w:pPr>
    </w:p>
    <w:p w:rsidR="00DC5F1E" w:rsidRDefault="00DC5F1E" w:rsidP="00DC5F1E">
      <w:pPr>
        <w:spacing w:after="160" w:line="360" w:lineRule="auto"/>
        <w:jc w:val="both"/>
        <w:rPr>
          <w:rFonts w:ascii="Arial" w:hAnsi="Arial" w:cs="Arial"/>
          <w:sz w:val="24"/>
          <w:szCs w:val="24"/>
        </w:rPr>
      </w:pPr>
    </w:p>
    <w:p w:rsidR="00DC5F1E" w:rsidRDefault="00DC5F1E" w:rsidP="00DC5F1E">
      <w:pPr>
        <w:spacing w:after="160" w:line="360" w:lineRule="auto"/>
        <w:jc w:val="both"/>
        <w:rPr>
          <w:rFonts w:ascii="Arial" w:hAnsi="Arial" w:cs="Arial"/>
          <w:sz w:val="24"/>
          <w:szCs w:val="24"/>
        </w:rPr>
      </w:pPr>
    </w:p>
    <w:p w:rsidR="00DC5F1E" w:rsidRDefault="00DC5F1E" w:rsidP="00DC5F1E">
      <w:pPr>
        <w:spacing w:after="160" w:line="360" w:lineRule="auto"/>
        <w:jc w:val="both"/>
        <w:rPr>
          <w:rFonts w:ascii="Arial" w:hAnsi="Arial" w:cs="Arial"/>
          <w:sz w:val="24"/>
          <w:szCs w:val="24"/>
        </w:rPr>
      </w:pPr>
    </w:p>
    <w:p w:rsidR="007C1E22" w:rsidRDefault="007C1E22" w:rsidP="00DC5F1E">
      <w:pPr>
        <w:spacing w:after="160" w:line="360" w:lineRule="auto"/>
        <w:jc w:val="center"/>
        <w:rPr>
          <w:rFonts w:ascii="Arial" w:hAnsi="Arial" w:cs="Arial"/>
          <w:b/>
          <w:sz w:val="24"/>
          <w:szCs w:val="24"/>
        </w:rPr>
      </w:pPr>
    </w:p>
    <w:p w:rsidR="007C1E22" w:rsidRDefault="007C1E22" w:rsidP="00DC5F1E">
      <w:pPr>
        <w:spacing w:after="160" w:line="360" w:lineRule="auto"/>
        <w:jc w:val="center"/>
        <w:rPr>
          <w:rFonts w:ascii="Arial" w:hAnsi="Arial" w:cs="Arial"/>
          <w:b/>
          <w:sz w:val="24"/>
          <w:szCs w:val="24"/>
        </w:rPr>
      </w:pPr>
    </w:p>
    <w:p w:rsidR="007C1E22" w:rsidRDefault="007C1E22" w:rsidP="00DC5F1E">
      <w:pPr>
        <w:spacing w:after="160" w:line="360" w:lineRule="auto"/>
        <w:jc w:val="center"/>
        <w:rPr>
          <w:rFonts w:ascii="Arial" w:hAnsi="Arial" w:cs="Arial"/>
          <w:b/>
          <w:sz w:val="24"/>
          <w:szCs w:val="24"/>
        </w:rPr>
      </w:pPr>
    </w:p>
    <w:p w:rsidR="007C1E22" w:rsidRDefault="007C1E22" w:rsidP="00DC5F1E">
      <w:pPr>
        <w:spacing w:after="160" w:line="360" w:lineRule="auto"/>
        <w:jc w:val="center"/>
        <w:rPr>
          <w:rFonts w:ascii="Arial" w:hAnsi="Arial" w:cs="Arial"/>
          <w:b/>
          <w:sz w:val="24"/>
          <w:szCs w:val="24"/>
        </w:rPr>
      </w:pPr>
    </w:p>
    <w:p w:rsidR="007C1E22" w:rsidRDefault="007C1E22" w:rsidP="00DC5F1E">
      <w:pPr>
        <w:spacing w:after="160" w:line="360" w:lineRule="auto"/>
        <w:jc w:val="center"/>
        <w:rPr>
          <w:rFonts w:ascii="Arial" w:hAnsi="Arial" w:cs="Arial"/>
          <w:b/>
          <w:sz w:val="24"/>
          <w:szCs w:val="24"/>
        </w:rPr>
      </w:pPr>
    </w:p>
    <w:p w:rsidR="007C1E22" w:rsidRDefault="007C1E22" w:rsidP="00DC5F1E">
      <w:pPr>
        <w:spacing w:after="160" w:line="360" w:lineRule="auto"/>
        <w:jc w:val="center"/>
        <w:rPr>
          <w:rFonts w:ascii="Arial" w:hAnsi="Arial" w:cs="Arial"/>
          <w:b/>
          <w:sz w:val="24"/>
          <w:szCs w:val="24"/>
        </w:rPr>
      </w:pPr>
    </w:p>
    <w:p w:rsidR="007C1E22" w:rsidRDefault="007C1E22" w:rsidP="00DC5F1E">
      <w:pPr>
        <w:spacing w:after="160" w:line="360" w:lineRule="auto"/>
        <w:jc w:val="center"/>
        <w:rPr>
          <w:rFonts w:ascii="Arial" w:hAnsi="Arial" w:cs="Arial"/>
          <w:b/>
          <w:sz w:val="24"/>
          <w:szCs w:val="24"/>
        </w:rPr>
      </w:pPr>
    </w:p>
    <w:p w:rsidR="007C1E22" w:rsidRDefault="007C1E22" w:rsidP="00DC5F1E">
      <w:pPr>
        <w:spacing w:after="160" w:line="360" w:lineRule="auto"/>
        <w:jc w:val="center"/>
        <w:rPr>
          <w:rFonts w:ascii="Arial" w:hAnsi="Arial" w:cs="Arial"/>
          <w:b/>
          <w:sz w:val="24"/>
          <w:szCs w:val="24"/>
        </w:rPr>
      </w:pPr>
    </w:p>
    <w:p w:rsidR="007C1E22" w:rsidRDefault="007C1E22" w:rsidP="00DC5F1E">
      <w:pPr>
        <w:spacing w:after="160" w:line="360" w:lineRule="auto"/>
        <w:jc w:val="center"/>
        <w:rPr>
          <w:rFonts w:ascii="Arial" w:hAnsi="Arial" w:cs="Arial"/>
          <w:b/>
          <w:sz w:val="24"/>
          <w:szCs w:val="24"/>
        </w:rPr>
      </w:pPr>
    </w:p>
    <w:p w:rsidR="007C1E22" w:rsidRDefault="007C1E22" w:rsidP="00DC5F1E">
      <w:pPr>
        <w:spacing w:after="160" w:line="360" w:lineRule="auto"/>
        <w:jc w:val="center"/>
        <w:rPr>
          <w:rFonts w:ascii="Arial" w:hAnsi="Arial" w:cs="Arial"/>
          <w:b/>
          <w:sz w:val="24"/>
          <w:szCs w:val="24"/>
        </w:rPr>
      </w:pPr>
    </w:p>
    <w:p w:rsidR="007C1E22" w:rsidRDefault="007C1E22" w:rsidP="00DC5F1E">
      <w:pPr>
        <w:spacing w:after="160" w:line="360" w:lineRule="auto"/>
        <w:jc w:val="center"/>
        <w:rPr>
          <w:rFonts w:ascii="Arial" w:hAnsi="Arial" w:cs="Arial"/>
          <w:b/>
          <w:sz w:val="24"/>
          <w:szCs w:val="24"/>
        </w:rPr>
      </w:pPr>
    </w:p>
    <w:p w:rsidR="007C1E22" w:rsidRDefault="007C1E22" w:rsidP="00DC5F1E">
      <w:pPr>
        <w:spacing w:after="160" w:line="360" w:lineRule="auto"/>
        <w:jc w:val="center"/>
        <w:rPr>
          <w:rFonts w:ascii="Arial" w:hAnsi="Arial" w:cs="Arial"/>
          <w:b/>
          <w:sz w:val="24"/>
          <w:szCs w:val="24"/>
        </w:rPr>
      </w:pPr>
    </w:p>
    <w:p w:rsidR="007C1E22" w:rsidRDefault="007C1E22" w:rsidP="00DC5F1E">
      <w:pPr>
        <w:spacing w:after="160" w:line="360" w:lineRule="auto"/>
        <w:jc w:val="center"/>
        <w:rPr>
          <w:rFonts w:ascii="Arial" w:hAnsi="Arial" w:cs="Arial"/>
          <w:b/>
          <w:sz w:val="24"/>
          <w:szCs w:val="24"/>
        </w:rPr>
      </w:pPr>
    </w:p>
    <w:p w:rsidR="000E5F31" w:rsidRDefault="000E5F31" w:rsidP="00DC5F1E">
      <w:pPr>
        <w:spacing w:after="160" w:line="360" w:lineRule="auto"/>
        <w:jc w:val="center"/>
        <w:rPr>
          <w:rFonts w:ascii="Arial" w:hAnsi="Arial" w:cs="Arial"/>
          <w:b/>
          <w:sz w:val="24"/>
          <w:szCs w:val="24"/>
        </w:rPr>
      </w:pPr>
    </w:p>
    <w:p w:rsidR="000E5F31" w:rsidRDefault="000E5F31" w:rsidP="00DC5F1E">
      <w:pPr>
        <w:spacing w:after="160" w:line="360" w:lineRule="auto"/>
        <w:jc w:val="center"/>
        <w:rPr>
          <w:rFonts w:ascii="Arial" w:hAnsi="Arial" w:cs="Arial"/>
          <w:b/>
          <w:sz w:val="24"/>
          <w:szCs w:val="24"/>
        </w:rPr>
      </w:pPr>
    </w:p>
    <w:p w:rsidR="00DC5F1E" w:rsidRDefault="00DC5F1E" w:rsidP="00DC5F1E">
      <w:pPr>
        <w:spacing w:after="160" w:line="360" w:lineRule="auto"/>
        <w:jc w:val="center"/>
        <w:rPr>
          <w:rFonts w:ascii="Arial" w:hAnsi="Arial" w:cs="Arial"/>
          <w:b/>
          <w:sz w:val="24"/>
          <w:szCs w:val="24"/>
        </w:rPr>
      </w:pPr>
      <w:r w:rsidRPr="00DC5F1E">
        <w:rPr>
          <w:rFonts w:ascii="Arial" w:hAnsi="Arial" w:cs="Arial"/>
          <w:b/>
          <w:sz w:val="24"/>
          <w:szCs w:val="24"/>
        </w:rPr>
        <w:lastRenderedPageBreak/>
        <w:t>ANEXOS</w:t>
      </w:r>
    </w:p>
    <w:p w:rsidR="00847EBC" w:rsidRPr="0074340D" w:rsidRDefault="00847EBC" w:rsidP="00847EBC">
      <w:pPr>
        <w:spacing w:after="160" w:line="360" w:lineRule="auto"/>
        <w:jc w:val="both"/>
        <w:rPr>
          <w:rFonts w:ascii="Arial" w:hAnsi="Arial" w:cs="Arial"/>
          <w:b/>
          <w:sz w:val="24"/>
          <w:szCs w:val="24"/>
        </w:rPr>
      </w:pPr>
      <w:r w:rsidRPr="0074340D">
        <w:rPr>
          <w:rFonts w:ascii="Arial" w:hAnsi="Arial" w:cs="Arial"/>
          <w:b/>
          <w:sz w:val="24"/>
          <w:szCs w:val="24"/>
        </w:rPr>
        <w:t xml:space="preserve">Anexo 1: </w:t>
      </w:r>
      <w:r w:rsidRPr="000E5F31">
        <w:rPr>
          <w:rFonts w:ascii="Arial" w:hAnsi="Arial" w:cs="Arial"/>
          <w:sz w:val="24"/>
          <w:szCs w:val="24"/>
        </w:rPr>
        <w:t>Acta de consentimiento informado</w:t>
      </w:r>
      <w:r w:rsidRPr="0074340D">
        <w:rPr>
          <w:rFonts w:ascii="Arial" w:hAnsi="Arial" w:cs="Arial"/>
          <w:b/>
          <w:sz w:val="24"/>
          <w:szCs w:val="24"/>
        </w:rPr>
        <w:t xml:space="preserve"> </w:t>
      </w:r>
    </w:p>
    <w:p w:rsidR="00847EBC" w:rsidRPr="0074340D" w:rsidRDefault="00847EBC" w:rsidP="00847EBC">
      <w:pPr>
        <w:spacing w:after="160" w:line="360" w:lineRule="auto"/>
        <w:jc w:val="both"/>
        <w:rPr>
          <w:rFonts w:ascii="Arial" w:hAnsi="Arial" w:cs="Arial"/>
          <w:sz w:val="24"/>
          <w:szCs w:val="24"/>
        </w:rPr>
      </w:pPr>
      <w:r w:rsidRPr="0074340D">
        <w:rPr>
          <w:rFonts w:ascii="Arial" w:hAnsi="Arial" w:cs="Arial"/>
          <w:sz w:val="24"/>
          <w:szCs w:val="24"/>
        </w:rPr>
        <w:t xml:space="preserve">                        ACTA DE CONSENTIMIENTO INFORMADO  </w:t>
      </w:r>
    </w:p>
    <w:p w:rsidR="00847EBC" w:rsidRPr="00AD5AA8" w:rsidRDefault="00847EBC" w:rsidP="00AD5AA8">
      <w:pPr>
        <w:autoSpaceDE w:val="0"/>
        <w:autoSpaceDN w:val="0"/>
        <w:adjustRightInd w:val="0"/>
        <w:spacing w:before="120" w:after="120" w:line="360" w:lineRule="auto"/>
        <w:jc w:val="both"/>
        <w:rPr>
          <w:rFonts w:ascii="Arial" w:hAnsi="Arial" w:cs="Arial"/>
          <w:b/>
          <w:bCs/>
          <w:sz w:val="30"/>
          <w:szCs w:val="30"/>
        </w:rPr>
      </w:pPr>
      <w:r w:rsidRPr="0074340D">
        <w:rPr>
          <w:rFonts w:ascii="Arial" w:hAnsi="Arial" w:cs="Arial"/>
          <w:sz w:val="24"/>
          <w:szCs w:val="24"/>
        </w:rPr>
        <w:t xml:space="preserve">Yo __________________________________de ___ años de edad, </w:t>
      </w:r>
      <w:r>
        <w:rPr>
          <w:rFonts w:ascii="Arial" w:hAnsi="Arial" w:cs="Arial"/>
          <w:sz w:val="24"/>
          <w:szCs w:val="24"/>
        </w:rPr>
        <w:t xml:space="preserve">con dirección </w:t>
      </w:r>
      <w:r w:rsidRPr="0074340D">
        <w:rPr>
          <w:rFonts w:ascii="Arial" w:hAnsi="Arial" w:cs="Arial"/>
          <w:sz w:val="24"/>
          <w:szCs w:val="24"/>
        </w:rPr>
        <w:t xml:space="preserve">______________________; con número de identidad: ______________; declaro haber recibido suficiente información sobre la investigación que se realiza por el Servicio de Nefrología del Hospital General Docente: “Dr. Ernesto Guevara de la Serna” de Las Tunas, para determinar </w:t>
      </w:r>
      <w:r w:rsidR="00AD5AA8">
        <w:rPr>
          <w:rFonts w:ascii="Arial" w:hAnsi="Arial" w:cs="Arial"/>
          <w:bCs/>
          <w:sz w:val="24"/>
          <w:szCs w:val="24"/>
        </w:rPr>
        <w:t>el v</w:t>
      </w:r>
      <w:r w:rsidR="00AD5AA8" w:rsidRPr="00AD5AA8">
        <w:rPr>
          <w:rFonts w:ascii="Arial" w:hAnsi="Arial" w:cs="Arial"/>
          <w:bCs/>
          <w:sz w:val="24"/>
          <w:szCs w:val="24"/>
        </w:rPr>
        <w:t>alor pronóstico de mortalidad a corto plazo del cociente urea/creatinina en pacientes con injuria renal aguda prerrenal</w:t>
      </w:r>
      <w:r w:rsidRPr="0074340D">
        <w:rPr>
          <w:rFonts w:ascii="Arial" w:hAnsi="Arial" w:cs="Arial"/>
          <w:sz w:val="24"/>
          <w:szCs w:val="24"/>
        </w:rPr>
        <w:t>. Estoy conforme a participar en este estudio y responderé todas las p</w:t>
      </w:r>
      <w:r>
        <w:rPr>
          <w:rFonts w:ascii="Arial" w:hAnsi="Arial" w:cs="Arial"/>
          <w:sz w:val="24"/>
          <w:szCs w:val="24"/>
        </w:rPr>
        <w:t>reguntas que me sean realizadas</w:t>
      </w:r>
      <w:r w:rsidR="00AD5AA8">
        <w:rPr>
          <w:rFonts w:ascii="Arial" w:hAnsi="Arial" w:cs="Arial"/>
          <w:sz w:val="24"/>
          <w:szCs w:val="24"/>
        </w:rPr>
        <w:t>.</w:t>
      </w:r>
      <w:r w:rsidRPr="0074340D">
        <w:rPr>
          <w:rFonts w:ascii="Arial" w:hAnsi="Arial" w:cs="Arial"/>
          <w:sz w:val="24"/>
          <w:szCs w:val="24"/>
        </w:rPr>
        <w:t xml:space="preserve"> </w:t>
      </w:r>
    </w:p>
    <w:p w:rsidR="00847EBC" w:rsidRPr="0074340D" w:rsidRDefault="00847EBC" w:rsidP="00847EBC">
      <w:pPr>
        <w:spacing w:after="160" w:line="360" w:lineRule="auto"/>
        <w:jc w:val="both"/>
        <w:rPr>
          <w:rFonts w:ascii="Arial" w:hAnsi="Arial" w:cs="Arial"/>
          <w:sz w:val="24"/>
          <w:szCs w:val="24"/>
        </w:rPr>
      </w:pPr>
      <w:r w:rsidRPr="0074340D">
        <w:rPr>
          <w:rFonts w:ascii="Arial" w:hAnsi="Arial" w:cs="Arial"/>
          <w:sz w:val="24"/>
          <w:szCs w:val="24"/>
        </w:rPr>
        <w:t xml:space="preserve">Se me ha explicado que todos mis datos son confidenciales, se me realizará una entrevista y un examen médico, además </w:t>
      </w:r>
      <w:r>
        <w:rPr>
          <w:rFonts w:ascii="Arial" w:hAnsi="Arial" w:cs="Arial"/>
          <w:sz w:val="24"/>
          <w:szCs w:val="24"/>
        </w:rPr>
        <w:t>se utilizarán los datos de algunos exámenes complementarios realizados a mi persona</w:t>
      </w:r>
      <w:r w:rsidRPr="0074340D">
        <w:rPr>
          <w:rFonts w:ascii="Arial" w:hAnsi="Arial" w:cs="Arial"/>
          <w:sz w:val="24"/>
          <w:szCs w:val="24"/>
        </w:rPr>
        <w:t xml:space="preserve">. Para conocer cualquier información adicional acerca de la investigación y de mis derechos como participante puedo dirigirme a los profesionales que me están atendiendo. También se me ha comunicado los beneficios que traerá la realización de este estudio, y que los datos obtenidos solamente se utilizarán con fines científicos.  </w:t>
      </w:r>
    </w:p>
    <w:p w:rsidR="00847EBC" w:rsidRPr="0074340D" w:rsidRDefault="00847EBC" w:rsidP="00847EBC">
      <w:pPr>
        <w:spacing w:after="160" w:line="360" w:lineRule="auto"/>
        <w:jc w:val="both"/>
        <w:rPr>
          <w:rFonts w:ascii="Arial" w:hAnsi="Arial" w:cs="Arial"/>
          <w:sz w:val="24"/>
          <w:szCs w:val="24"/>
        </w:rPr>
      </w:pPr>
      <w:r w:rsidRPr="0074340D">
        <w:rPr>
          <w:rFonts w:ascii="Arial" w:hAnsi="Arial" w:cs="Arial"/>
          <w:sz w:val="24"/>
          <w:szCs w:val="24"/>
        </w:rPr>
        <w:t xml:space="preserve">Para que así conste, firmo la presente planilla de consentimiento informado.                          </w:t>
      </w:r>
    </w:p>
    <w:p w:rsidR="00847EBC" w:rsidRPr="00276869" w:rsidRDefault="00847EBC" w:rsidP="00847EBC">
      <w:pPr>
        <w:spacing w:after="160" w:line="360" w:lineRule="auto"/>
        <w:jc w:val="both"/>
        <w:rPr>
          <w:rFonts w:ascii="Arial" w:hAnsi="Arial" w:cs="Arial"/>
          <w:sz w:val="24"/>
          <w:szCs w:val="24"/>
        </w:rPr>
      </w:pPr>
      <w:r w:rsidRPr="0074340D">
        <w:rPr>
          <w:rFonts w:ascii="Arial" w:hAnsi="Arial" w:cs="Arial"/>
          <w:sz w:val="24"/>
          <w:szCs w:val="24"/>
        </w:rPr>
        <w:t xml:space="preserve">_________________________                           _________________________ Firma del Paciente                                               Firma del Investigador     Fecha:  </w:t>
      </w:r>
    </w:p>
    <w:p w:rsidR="007C1E22" w:rsidRPr="007C1E22" w:rsidRDefault="007C1E22" w:rsidP="007C1E22">
      <w:pPr>
        <w:spacing w:after="160" w:line="360" w:lineRule="auto"/>
        <w:jc w:val="both"/>
        <w:rPr>
          <w:rFonts w:ascii="Arial" w:hAnsi="Arial" w:cs="Arial"/>
          <w:sz w:val="24"/>
          <w:szCs w:val="24"/>
        </w:rPr>
      </w:pPr>
    </w:p>
    <w:p w:rsidR="008C18DE" w:rsidRDefault="008C18DE" w:rsidP="008C18DE">
      <w:pPr>
        <w:spacing w:after="160" w:line="360" w:lineRule="auto"/>
        <w:jc w:val="both"/>
        <w:rPr>
          <w:rFonts w:ascii="Arial" w:hAnsi="Arial" w:cs="Arial"/>
          <w:sz w:val="24"/>
          <w:szCs w:val="24"/>
        </w:rPr>
      </w:pPr>
    </w:p>
    <w:p w:rsidR="00352432" w:rsidRDefault="00352432" w:rsidP="008C18DE">
      <w:pPr>
        <w:spacing w:after="160" w:line="360" w:lineRule="auto"/>
        <w:jc w:val="both"/>
        <w:rPr>
          <w:rFonts w:ascii="Arial" w:hAnsi="Arial" w:cs="Arial"/>
          <w:sz w:val="24"/>
          <w:szCs w:val="24"/>
        </w:rPr>
      </w:pPr>
    </w:p>
    <w:p w:rsidR="00010E48" w:rsidRDefault="00010E48" w:rsidP="008C18DE">
      <w:pPr>
        <w:spacing w:after="160" w:line="360" w:lineRule="auto"/>
        <w:jc w:val="both"/>
        <w:rPr>
          <w:rFonts w:ascii="Arial" w:hAnsi="Arial" w:cs="Arial"/>
          <w:b/>
          <w:sz w:val="24"/>
          <w:szCs w:val="24"/>
        </w:rPr>
      </w:pPr>
    </w:p>
    <w:p w:rsidR="00010E48" w:rsidRDefault="00010E48" w:rsidP="008C18DE">
      <w:pPr>
        <w:spacing w:after="160" w:line="360" w:lineRule="auto"/>
        <w:jc w:val="both"/>
        <w:rPr>
          <w:rFonts w:ascii="Arial" w:hAnsi="Arial" w:cs="Arial"/>
          <w:b/>
          <w:sz w:val="24"/>
          <w:szCs w:val="24"/>
        </w:rPr>
      </w:pPr>
    </w:p>
    <w:p w:rsidR="00010E48" w:rsidRDefault="00010E48" w:rsidP="008C18DE">
      <w:pPr>
        <w:spacing w:after="160" w:line="360" w:lineRule="auto"/>
        <w:jc w:val="both"/>
        <w:rPr>
          <w:rFonts w:ascii="Arial" w:hAnsi="Arial" w:cs="Arial"/>
          <w:b/>
          <w:sz w:val="24"/>
          <w:szCs w:val="24"/>
        </w:rPr>
      </w:pPr>
    </w:p>
    <w:p w:rsidR="00352432" w:rsidRDefault="00352432" w:rsidP="008C18DE">
      <w:pPr>
        <w:spacing w:after="160" w:line="360" w:lineRule="auto"/>
        <w:jc w:val="both"/>
        <w:rPr>
          <w:rFonts w:ascii="Arial" w:hAnsi="Arial" w:cs="Arial"/>
          <w:b/>
          <w:sz w:val="24"/>
          <w:szCs w:val="24"/>
        </w:rPr>
      </w:pPr>
      <w:r w:rsidRPr="00352432">
        <w:rPr>
          <w:rFonts w:ascii="Arial" w:hAnsi="Arial" w:cs="Arial"/>
          <w:b/>
          <w:sz w:val="24"/>
          <w:szCs w:val="24"/>
        </w:rPr>
        <w:lastRenderedPageBreak/>
        <w:t xml:space="preserve">Anexo 2: </w:t>
      </w:r>
      <w:r w:rsidRPr="000E5F31">
        <w:rPr>
          <w:rFonts w:ascii="Arial" w:hAnsi="Arial" w:cs="Arial"/>
          <w:sz w:val="24"/>
          <w:szCs w:val="24"/>
        </w:rPr>
        <w:t>Planilla de recolección de datos</w:t>
      </w:r>
    </w:p>
    <w:p w:rsidR="00352432" w:rsidRDefault="00000805" w:rsidP="00000805">
      <w:pPr>
        <w:pStyle w:val="Prrafodelista"/>
        <w:numPr>
          <w:ilvl w:val="0"/>
          <w:numId w:val="11"/>
        </w:numPr>
        <w:spacing w:after="160" w:line="360" w:lineRule="auto"/>
        <w:jc w:val="both"/>
        <w:rPr>
          <w:rFonts w:ascii="Arial" w:hAnsi="Arial" w:cs="Arial"/>
          <w:sz w:val="24"/>
          <w:szCs w:val="24"/>
        </w:rPr>
      </w:pPr>
      <w:r>
        <w:rPr>
          <w:rFonts w:ascii="Arial" w:hAnsi="Arial" w:cs="Arial"/>
          <w:sz w:val="24"/>
          <w:szCs w:val="24"/>
        </w:rPr>
        <w:t>Nombre y apellidos: ________________________________________</w:t>
      </w:r>
    </w:p>
    <w:p w:rsidR="00000805" w:rsidRDefault="00000805" w:rsidP="00000805">
      <w:pPr>
        <w:pStyle w:val="Prrafodelista"/>
        <w:numPr>
          <w:ilvl w:val="0"/>
          <w:numId w:val="11"/>
        </w:numPr>
        <w:spacing w:after="160" w:line="360" w:lineRule="auto"/>
        <w:jc w:val="both"/>
        <w:rPr>
          <w:rFonts w:ascii="Arial" w:hAnsi="Arial" w:cs="Arial"/>
          <w:sz w:val="24"/>
          <w:szCs w:val="24"/>
        </w:rPr>
      </w:pPr>
      <w:r>
        <w:rPr>
          <w:rFonts w:ascii="Arial" w:hAnsi="Arial" w:cs="Arial"/>
          <w:sz w:val="24"/>
          <w:szCs w:val="24"/>
        </w:rPr>
        <w:t>Edad: ____ años</w:t>
      </w:r>
    </w:p>
    <w:p w:rsidR="00000805" w:rsidRDefault="00000805" w:rsidP="00000805">
      <w:pPr>
        <w:pStyle w:val="Prrafodelista"/>
        <w:numPr>
          <w:ilvl w:val="0"/>
          <w:numId w:val="11"/>
        </w:numPr>
        <w:spacing w:after="160" w:line="360" w:lineRule="auto"/>
        <w:jc w:val="both"/>
        <w:rPr>
          <w:rFonts w:ascii="Arial" w:hAnsi="Arial" w:cs="Arial"/>
          <w:sz w:val="24"/>
          <w:szCs w:val="24"/>
        </w:rPr>
      </w:pPr>
      <w:r>
        <w:rPr>
          <w:rFonts w:ascii="Arial" w:hAnsi="Arial" w:cs="Arial"/>
          <w:sz w:val="24"/>
          <w:szCs w:val="24"/>
        </w:rPr>
        <w:t>Sexo:   ___ masculino     ___ femenino</w:t>
      </w:r>
    </w:p>
    <w:p w:rsidR="00000805" w:rsidRDefault="00000805" w:rsidP="00000805">
      <w:pPr>
        <w:pStyle w:val="Prrafodelista"/>
        <w:numPr>
          <w:ilvl w:val="0"/>
          <w:numId w:val="11"/>
        </w:numPr>
        <w:spacing w:after="160" w:line="360" w:lineRule="auto"/>
        <w:jc w:val="both"/>
        <w:rPr>
          <w:rFonts w:ascii="Arial" w:hAnsi="Arial" w:cs="Arial"/>
          <w:sz w:val="24"/>
          <w:szCs w:val="24"/>
        </w:rPr>
      </w:pPr>
      <w:r>
        <w:rPr>
          <w:rFonts w:ascii="Arial" w:hAnsi="Arial" w:cs="Arial"/>
          <w:sz w:val="24"/>
          <w:szCs w:val="24"/>
        </w:rPr>
        <w:t>Dirección: ________________________________________________</w:t>
      </w:r>
    </w:p>
    <w:p w:rsidR="00000805" w:rsidRDefault="00000805" w:rsidP="00000805">
      <w:pPr>
        <w:pStyle w:val="Prrafodelista"/>
        <w:numPr>
          <w:ilvl w:val="0"/>
          <w:numId w:val="11"/>
        </w:numPr>
        <w:spacing w:after="160" w:line="360" w:lineRule="auto"/>
        <w:jc w:val="both"/>
        <w:rPr>
          <w:rFonts w:ascii="Arial" w:hAnsi="Arial" w:cs="Arial"/>
          <w:sz w:val="24"/>
          <w:szCs w:val="24"/>
        </w:rPr>
      </w:pPr>
      <w:r>
        <w:rPr>
          <w:rFonts w:ascii="Arial" w:hAnsi="Arial" w:cs="Arial"/>
          <w:sz w:val="24"/>
          <w:szCs w:val="24"/>
        </w:rPr>
        <w:t>Número de historia clínica: ___________________________________</w:t>
      </w:r>
    </w:p>
    <w:p w:rsidR="00000805" w:rsidRDefault="00000805" w:rsidP="00000805">
      <w:pPr>
        <w:pStyle w:val="Prrafodelista"/>
        <w:numPr>
          <w:ilvl w:val="0"/>
          <w:numId w:val="11"/>
        </w:numPr>
        <w:spacing w:after="160" w:line="360" w:lineRule="auto"/>
        <w:jc w:val="both"/>
        <w:rPr>
          <w:rFonts w:ascii="Arial" w:hAnsi="Arial" w:cs="Arial"/>
          <w:sz w:val="24"/>
          <w:szCs w:val="24"/>
        </w:rPr>
      </w:pPr>
      <w:r>
        <w:rPr>
          <w:rFonts w:ascii="Arial" w:hAnsi="Arial" w:cs="Arial"/>
          <w:sz w:val="24"/>
          <w:szCs w:val="24"/>
        </w:rPr>
        <w:t>Antecedentes patológicos personales de HTA:  ___ Sí      ___ No</w:t>
      </w:r>
    </w:p>
    <w:p w:rsidR="00000805" w:rsidRDefault="00000805" w:rsidP="00000805">
      <w:pPr>
        <w:pStyle w:val="Prrafodelista"/>
        <w:numPr>
          <w:ilvl w:val="0"/>
          <w:numId w:val="11"/>
        </w:numPr>
        <w:spacing w:after="160" w:line="360" w:lineRule="auto"/>
        <w:jc w:val="both"/>
        <w:rPr>
          <w:rFonts w:ascii="Arial" w:hAnsi="Arial" w:cs="Arial"/>
          <w:sz w:val="24"/>
          <w:szCs w:val="24"/>
        </w:rPr>
      </w:pPr>
      <w:r>
        <w:rPr>
          <w:rFonts w:ascii="Arial" w:hAnsi="Arial" w:cs="Arial"/>
          <w:sz w:val="24"/>
          <w:szCs w:val="24"/>
        </w:rPr>
        <w:t>Antecedentes patológicos personales de DM:  ___ Sí        ___ No</w:t>
      </w:r>
    </w:p>
    <w:p w:rsidR="00000805" w:rsidRDefault="00000805" w:rsidP="00000805">
      <w:pPr>
        <w:pStyle w:val="Prrafodelista"/>
        <w:numPr>
          <w:ilvl w:val="0"/>
          <w:numId w:val="11"/>
        </w:numPr>
        <w:spacing w:after="160" w:line="360" w:lineRule="auto"/>
        <w:jc w:val="both"/>
        <w:rPr>
          <w:rFonts w:ascii="Arial" w:hAnsi="Arial" w:cs="Arial"/>
          <w:sz w:val="24"/>
          <w:szCs w:val="24"/>
        </w:rPr>
      </w:pPr>
      <w:r>
        <w:rPr>
          <w:rFonts w:ascii="Arial" w:hAnsi="Arial" w:cs="Arial"/>
          <w:sz w:val="24"/>
          <w:szCs w:val="24"/>
        </w:rPr>
        <w:t>Hábito de fumar:  ___ Sí       ___ No</w:t>
      </w:r>
    </w:p>
    <w:p w:rsidR="00000805" w:rsidRDefault="00000805" w:rsidP="00000805">
      <w:pPr>
        <w:pStyle w:val="Prrafodelista"/>
        <w:numPr>
          <w:ilvl w:val="0"/>
          <w:numId w:val="11"/>
        </w:numPr>
        <w:spacing w:after="160" w:line="360" w:lineRule="auto"/>
        <w:jc w:val="both"/>
        <w:rPr>
          <w:rFonts w:ascii="Arial" w:hAnsi="Arial" w:cs="Arial"/>
          <w:sz w:val="24"/>
          <w:szCs w:val="24"/>
        </w:rPr>
      </w:pPr>
      <w:r>
        <w:rPr>
          <w:rFonts w:ascii="Arial" w:hAnsi="Arial" w:cs="Arial"/>
          <w:sz w:val="24"/>
          <w:szCs w:val="24"/>
        </w:rPr>
        <w:t>Enfermedad renal crónica previa:   ___ Sí      ___ No</w:t>
      </w:r>
    </w:p>
    <w:p w:rsidR="00000805" w:rsidRDefault="00000805" w:rsidP="00000805">
      <w:pPr>
        <w:pStyle w:val="Prrafodelista"/>
        <w:numPr>
          <w:ilvl w:val="0"/>
          <w:numId w:val="11"/>
        </w:numPr>
        <w:spacing w:after="160" w:line="360" w:lineRule="auto"/>
        <w:jc w:val="both"/>
        <w:rPr>
          <w:rFonts w:ascii="Arial" w:hAnsi="Arial" w:cs="Arial"/>
          <w:sz w:val="24"/>
          <w:szCs w:val="24"/>
        </w:rPr>
      </w:pPr>
      <w:r>
        <w:rPr>
          <w:rFonts w:ascii="Arial" w:hAnsi="Arial" w:cs="Arial"/>
          <w:sz w:val="24"/>
          <w:szCs w:val="24"/>
        </w:rPr>
        <w:t xml:space="preserve"> Datos al examen físico y laboratorio:</w:t>
      </w:r>
    </w:p>
    <w:p w:rsidR="00000805" w:rsidRDefault="00000805" w:rsidP="00000805">
      <w:pPr>
        <w:pStyle w:val="Prrafodelista"/>
        <w:spacing w:after="160" w:line="360" w:lineRule="auto"/>
        <w:jc w:val="both"/>
        <w:rPr>
          <w:rFonts w:ascii="Arial" w:hAnsi="Arial" w:cs="Arial"/>
          <w:sz w:val="24"/>
          <w:szCs w:val="24"/>
        </w:rPr>
      </w:pPr>
      <w:r>
        <w:rPr>
          <w:rFonts w:ascii="Arial" w:hAnsi="Arial" w:cs="Arial"/>
          <w:sz w:val="24"/>
          <w:szCs w:val="24"/>
        </w:rPr>
        <w:t>Tensión arterial: ___/___ mmHg</w:t>
      </w:r>
    </w:p>
    <w:p w:rsidR="00000805" w:rsidRDefault="00000805" w:rsidP="00000805">
      <w:pPr>
        <w:pStyle w:val="Prrafodelista"/>
        <w:spacing w:after="160" w:line="360" w:lineRule="auto"/>
        <w:jc w:val="both"/>
        <w:rPr>
          <w:rFonts w:ascii="Arial" w:hAnsi="Arial" w:cs="Arial"/>
          <w:sz w:val="24"/>
          <w:szCs w:val="24"/>
          <w:vertAlign w:val="superscript"/>
        </w:rPr>
      </w:pPr>
      <w:r>
        <w:rPr>
          <w:rFonts w:ascii="Arial" w:hAnsi="Arial" w:cs="Arial"/>
          <w:sz w:val="24"/>
          <w:szCs w:val="24"/>
        </w:rPr>
        <w:t>Filtrado glomerular: ____ ml/min/1.73m</w:t>
      </w:r>
      <w:r>
        <w:rPr>
          <w:rFonts w:ascii="Arial" w:hAnsi="Arial" w:cs="Arial"/>
          <w:sz w:val="24"/>
          <w:szCs w:val="24"/>
          <w:vertAlign w:val="superscript"/>
        </w:rPr>
        <w:t>2</w:t>
      </w:r>
    </w:p>
    <w:p w:rsidR="00000805" w:rsidRDefault="00000805" w:rsidP="00000805">
      <w:pPr>
        <w:pStyle w:val="Prrafodelista"/>
        <w:spacing w:after="160" w:line="360" w:lineRule="auto"/>
        <w:jc w:val="both"/>
        <w:rPr>
          <w:rFonts w:ascii="Arial" w:hAnsi="Arial" w:cs="Arial"/>
          <w:sz w:val="24"/>
          <w:szCs w:val="24"/>
        </w:rPr>
      </w:pPr>
      <w:r>
        <w:rPr>
          <w:rFonts w:ascii="Arial" w:hAnsi="Arial" w:cs="Arial"/>
          <w:sz w:val="24"/>
          <w:szCs w:val="24"/>
        </w:rPr>
        <w:t>Hipoalbuminemia: ____ Sí    ____ No</w:t>
      </w:r>
    </w:p>
    <w:p w:rsidR="00000805" w:rsidRDefault="00000805" w:rsidP="00000805">
      <w:pPr>
        <w:pStyle w:val="Prrafodelista"/>
        <w:spacing w:after="160" w:line="360" w:lineRule="auto"/>
        <w:jc w:val="both"/>
        <w:rPr>
          <w:rFonts w:ascii="Arial" w:hAnsi="Arial" w:cs="Arial"/>
          <w:sz w:val="24"/>
          <w:szCs w:val="24"/>
        </w:rPr>
      </w:pPr>
      <w:r>
        <w:rPr>
          <w:rFonts w:ascii="Arial" w:hAnsi="Arial" w:cs="Arial"/>
          <w:sz w:val="24"/>
          <w:szCs w:val="24"/>
        </w:rPr>
        <w:t>Acidemia metabólica:   ____ Sí    ____ No</w:t>
      </w:r>
    </w:p>
    <w:p w:rsidR="00000805" w:rsidRDefault="00000805" w:rsidP="00000805">
      <w:pPr>
        <w:pStyle w:val="Prrafodelista"/>
        <w:spacing w:after="160" w:line="360" w:lineRule="auto"/>
        <w:jc w:val="both"/>
        <w:rPr>
          <w:rFonts w:ascii="Arial" w:hAnsi="Arial" w:cs="Arial"/>
          <w:sz w:val="24"/>
          <w:szCs w:val="24"/>
        </w:rPr>
      </w:pPr>
      <w:r>
        <w:rPr>
          <w:rFonts w:ascii="Arial" w:hAnsi="Arial" w:cs="Arial"/>
          <w:sz w:val="24"/>
          <w:szCs w:val="24"/>
        </w:rPr>
        <w:t>Hiperpotasemia:    ____ Sí       ____No</w:t>
      </w:r>
    </w:p>
    <w:p w:rsidR="00000805" w:rsidRDefault="00000805" w:rsidP="00000805">
      <w:pPr>
        <w:pStyle w:val="Prrafodelista"/>
        <w:spacing w:after="160" w:line="360" w:lineRule="auto"/>
        <w:jc w:val="both"/>
        <w:rPr>
          <w:rFonts w:ascii="Arial" w:hAnsi="Arial" w:cs="Arial"/>
          <w:sz w:val="24"/>
          <w:szCs w:val="24"/>
        </w:rPr>
      </w:pPr>
      <w:r>
        <w:rPr>
          <w:rFonts w:ascii="Arial" w:hAnsi="Arial" w:cs="Arial"/>
          <w:sz w:val="24"/>
          <w:szCs w:val="24"/>
        </w:rPr>
        <w:t>Oligoanuria:     ____ Sí      ____ No</w:t>
      </w:r>
    </w:p>
    <w:p w:rsidR="00000805" w:rsidRDefault="00000805" w:rsidP="00000805">
      <w:pPr>
        <w:pStyle w:val="Prrafodelista"/>
        <w:spacing w:after="160" w:line="360" w:lineRule="auto"/>
        <w:jc w:val="both"/>
        <w:rPr>
          <w:rFonts w:ascii="Arial" w:hAnsi="Arial" w:cs="Arial"/>
          <w:sz w:val="24"/>
          <w:szCs w:val="24"/>
        </w:rPr>
      </w:pPr>
      <w:r>
        <w:rPr>
          <w:rFonts w:ascii="Arial" w:hAnsi="Arial" w:cs="Arial"/>
          <w:sz w:val="24"/>
          <w:szCs w:val="24"/>
        </w:rPr>
        <w:t>Urea:   ____ mmol/l</w:t>
      </w:r>
    </w:p>
    <w:p w:rsidR="00000805" w:rsidRDefault="00E51A7B" w:rsidP="00000805">
      <w:pPr>
        <w:pStyle w:val="Prrafodelista"/>
        <w:spacing w:after="160" w:line="360" w:lineRule="auto"/>
        <w:jc w:val="both"/>
        <w:rPr>
          <w:rFonts w:ascii="Arial" w:hAnsi="Arial" w:cs="Arial"/>
          <w:sz w:val="24"/>
          <w:szCs w:val="24"/>
        </w:rPr>
      </w:pPr>
      <w:r>
        <w:rPr>
          <w:rFonts w:ascii="Arial" w:hAnsi="Arial" w:cs="Arial"/>
          <w:sz w:val="24"/>
          <w:szCs w:val="24"/>
        </w:rPr>
        <w:t>BUN:   ____ mg/dl</w:t>
      </w:r>
    </w:p>
    <w:p w:rsidR="00E51A7B" w:rsidRDefault="00E51A7B" w:rsidP="00000805">
      <w:pPr>
        <w:pStyle w:val="Prrafodelista"/>
        <w:spacing w:after="160" w:line="360" w:lineRule="auto"/>
        <w:jc w:val="both"/>
        <w:rPr>
          <w:rFonts w:ascii="Arial" w:hAnsi="Arial" w:cs="Arial"/>
          <w:sz w:val="24"/>
          <w:szCs w:val="24"/>
        </w:rPr>
      </w:pPr>
      <w:r>
        <w:rPr>
          <w:rFonts w:ascii="Arial" w:hAnsi="Arial" w:cs="Arial"/>
          <w:sz w:val="24"/>
          <w:szCs w:val="24"/>
        </w:rPr>
        <w:t>Creatinina:   ____ mmol/l</w:t>
      </w:r>
    </w:p>
    <w:p w:rsidR="00E51A7B" w:rsidRDefault="00E51A7B" w:rsidP="00000805">
      <w:pPr>
        <w:pStyle w:val="Prrafodelista"/>
        <w:spacing w:after="160" w:line="360" w:lineRule="auto"/>
        <w:jc w:val="both"/>
        <w:rPr>
          <w:rFonts w:ascii="Arial" w:hAnsi="Arial" w:cs="Arial"/>
          <w:sz w:val="24"/>
          <w:szCs w:val="24"/>
        </w:rPr>
      </w:pPr>
      <w:r>
        <w:rPr>
          <w:rFonts w:ascii="Arial" w:hAnsi="Arial" w:cs="Arial"/>
          <w:sz w:val="24"/>
          <w:szCs w:val="24"/>
        </w:rPr>
        <w:t>Cociente urea/creatinina:    ____</w:t>
      </w:r>
    </w:p>
    <w:p w:rsidR="00E51A7B" w:rsidRDefault="00E51A7B" w:rsidP="00E51A7B">
      <w:pPr>
        <w:pStyle w:val="Prrafodelista"/>
        <w:numPr>
          <w:ilvl w:val="0"/>
          <w:numId w:val="11"/>
        </w:numPr>
        <w:spacing w:after="160" w:line="360" w:lineRule="auto"/>
        <w:jc w:val="both"/>
        <w:rPr>
          <w:rFonts w:ascii="Arial" w:hAnsi="Arial" w:cs="Arial"/>
          <w:sz w:val="24"/>
          <w:szCs w:val="24"/>
        </w:rPr>
      </w:pPr>
      <w:r>
        <w:rPr>
          <w:rFonts w:ascii="Arial" w:hAnsi="Arial" w:cs="Arial"/>
          <w:sz w:val="24"/>
          <w:szCs w:val="24"/>
        </w:rPr>
        <w:t xml:space="preserve"> Tipo de tratamiento recibido:</w:t>
      </w:r>
    </w:p>
    <w:p w:rsidR="00E51A7B" w:rsidRDefault="00E51A7B" w:rsidP="00E51A7B">
      <w:pPr>
        <w:pStyle w:val="Prrafodelista"/>
        <w:spacing w:after="160" w:line="360" w:lineRule="auto"/>
        <w:jc w:val="both"/>
        <w:rPr>
          <w:rFonts w:ascii="Arial" w:hAnsi="Arial" w:cs="Arial"/>
          <w:sz w:val="24"/>
          <w:szCs w:val="24"/>
        </w:rPr>
      </w:pPr>
      <w:r>
        <w:rPr>
          <w:rFonts w:ascii="Arial" w:hAnsi="Arial" w:cs="Arial"/>
          <w:sz w:val="24"/>
          <w:szCs w:val="24"/>
        </w:rPr>
        <w:t>Tratamiento conservador:   ____ Sí       ____ No</w:t>
      </w:r>
    </w:p>
    <w:p w:rsidR="00E51A7B" w:rsidRDefault="00E51A7B" w:rsidP="00E51A7B">
      <w:pPr>
        <w:pStyle w:val="Prrafodelista"/>
        <w:spacing w:after="160" w:line="360" w:lineRule="auto"/>
        <w:jc w:val="both"/>
        <w:rPr>
          <w:rFonts w:ascii="Arial" w:hAnsi="Arial" w:cs="Arial"/>
          <w:sz w:val="24"/>
          <w:szCs w:val="24"/>
        </w:rPr>
      </w:pPr>
      <w:r>
        <w:rPr>
          <w:rFonts w:ascii="Arial" w:hAnsi="Arial" w:cs="Arial"/>
          <w:sz w:val="24"/>
          <w:szCs w:val="24"/>
        </w:rPr>
        <w:t>Tratamiento dialítico:    ____ Sí      ____ No</w:t>
      </w:r>
    </w:p>
    <w:p w:rsidR="00E51A7B" w:rsidRDefault="00E51A7B" w:rsidP="00E51A7B">
      <w:pPr>
        <w:pStyle w:val="Prrafodelista"/>
        <w:numPr>
          <w:ilvl w:val="0"/>
          <w:numId w:val="11"/>
        </w:numPr>
        <w:spacing w:after="160" w:line="360" w:lineRule="auto"/>
        <w:jc w:val="both"/>
        <w:rPr>
          <w:rFonts w:ascii="Arial" w:hAnsi="Arial" w:cs="Arial"/>
          <w:sz w:val="24"/>
          <w:szCs w:val="24"/>
        </w:rPr>
      </w:pPr>
      <w:r>
        <w:rPr>
          <w:rFonts w:ascii="Arial" w:hAnsi="Arial" w:cs="Arial"/>
          <w:sz w:val="24"/>
          <w:szCs w:val="24"/>
        </w:rPr>
        <w:t xml:space="preserve"> Estado al culminar el estudio: </w:t>
      </w:r>
    </w:p>
    <w:p w:rsidR="00E51A7B" w:rsidRDefault="00E51A7B" w:rsidP="00E51A7B">
      <w:pPr>
        <w:pStyle w:val="Prrafodelista"/>
        <w:spacing w:after="160" w:line="360" w:lineRule="auto"/>
        <w:jc w:val="both"/>
        <w:rPr>
          <w:rFonts w:ascii="Arial" w:hAnsi="Arial" w:cs="Arial"/>
          <w:sz w:val="24"/>
          <w:szCs w:val="24"/>
        </w:rPr>
      </w:pPr>
      <w:r>
        <w:rPr>
          <w:rFonts w:ascii="Arial" w:hAnsi="Arial" w:cs="Arial"/>
          <w:sz w:val="24"/>
          <w:szCs w:val="24"/>
        </w:rPr>
        <w:t>Vivo:   ____ Sí     ____ No</w:t>
      </w:r>
    </w:p>
    <w:p w:rsidR="00E51A7B" w:rsidRDefault="00E51A7B" w:rsidP="00E51A7B">
      <w:pPr>
        <w:pStyle w:val="Prrafodelista"/>
        <w:spacing w:after="160" w:line="360" w:lineRule="auto"/>
        <w:jc w:val="both"/>
        <w:rPr>
          <w:rFonts w:ascii="Arial" w:hAnsi="Arial" w:cs="Arial"/>
          <w:sz w:val="24"/>
          <w:szCs w:val="24"/>
        </w:rPr>
      </w:pPr>
      <w:r>
        <w:rPr>
          <w:rFonts w:ascii="Arial" w:hAnsi="Arial" w:cs="Arial"/>
          <w:sz w:val="24"/>
          <w:szCs w:val="24"/>
        </w:rPr>
        <w:t>Fallecido:    ____ Sí     ____ No</w:t>
      </w:r>
    </w:p>
    <w:p w:rsidR="00010E48" w:rsidRDefault="00010E48" w:rsidP="00E51A7B">
      <w:pPr>
        <w:pStyle w:val="Prrafodelista"/>
        <w:spacing w:after="160" w:line="360" w:lineRule="auto"/>
        <w:jc w:val="both"/>
        <w:rPr>
          <w:rFonts w:ascii="Arial" w:hAnsi="Arial" w:cs="Arial"/>
          <w:sz w:val="24"/>
          <w:szCs w:val="24"/>
        </w:rPr>
      </w:pPr>
    </w:p>
    <w:p w:rsidR="00010E48" w:rsidRDefault="00010E48" w:rsidP="00010E48">
      <w:pPr>
        <w:spacing w:after="160" w:line="360" w:lineRule="auto"/>
        <w:jc w:val="both"/>
        <w:rPr>
          <w:rFonts w:ascii="Arial" w:hAnsi="Arial" w:cs="Arial"/>
          <w:sz w:val="24"/>
          <w:szCs w:val="24"/>
        </w:rPr>
      </w:pPr>
    </w:p>
    <w:p w:rsidR="00010E48" w:rsidRDefault="00010E48" w:rsidP="00010E48">
      <w:pPr>
        <w:spacing w:after="160" w:line="360" w:lineRule="auto"/>
        <w:jc w:val="both"/>
        <w:rPr>
          <w:rFonts w:ascii="Arial" w:hAnsi="Arial" w:cs="Arial"/>
          <w:sz w:val="24"/>
          <w:szCs w:val="24"/>
        </w:rPr>
      </w:pPr>
    </w:p>
    <w:sectPr w:rsidR="00010E48" w:rsidSect="002951C5">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902"/>
    <w:multiLevelType w:val="hybridMultilevel"/>
    <w:tmpl w:val="BF1293F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3A7C76"/>
    <w:multiLevelType w:val="hybridMultilevel"/>
    <w:tmpl w:val="254899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5C3595"/>
    <w:multiLevelType w:val="hybridMultilevel"/>
    <w:tmpl w:val="A9EC6FC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17E3E69"/>
    <w:multiLevelType w:val="hybridMultilevel"/>
    <w:tmpl w:val="1BD89C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6F9110D"/>
    <w:multiLevelType w:val="hybridMultilevel"/>
    <w:tmpl w:val="8642F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DE47611"/>
    <w:multiLevelType w:val="hybridMultilevel"/>
    <w:tmpl w:val="55806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FD036E"/>
    <w:multiLevelType w:val="hybridMultilevel"/>
    <w:tmpl w:val="3918B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AB069D8"/>
    <w:multiLevelType w:val="hybridMultilevel"/>
    <w:tmpl w:val="AB4AD3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86249C3"/>
    <w:multiLevelType w:val="hybridMultilevel"/>
    <w:tmpl w:val="8E48DD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89B4F9E"/>
    <w:multiLevelType w:val="hybridMultilevel"/>
    <w:tmpl w:val="196A619C"/>
    <w:lvl w:ilvl="0" w:tplc="28906DB2">
      <w:start w:val="1"/>
      <w:numFmt w:val="decimal"/>
      <w:lvlText w:val="%1."/>
      <w:lvlJc w:val="left"/>
      <w:pPr>
        <w:ind w:left="502"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8227F09"/>
    <w:multiLevelType w:val="hybridMultilevel"/>
    <w:tmpl w:val="956610F0"/>
    <w:lvl w:ilvl="0" w:tplc="0C0A0001">
      <w:start w:val="1"/>
      <w:numFmt w:val="bullet"/>
      <w:lvlText w:val=""/>
      <w:lvlJc w:val="left"/>
      <w:pPr>
        <w:ind w:left="788" w:hanging="360"/>
      </w:pPr>
      <w:rPr>
        <w:rFonts w:ascii="Symbol" w:hAnsi="Symbol"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11">
    <w:nsid w:val="7A777297"/>
    <w:multiLevelType w:val="hybridMultilevel"/>
    <w:tmpl w:val="DC46F4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C5C26A6"/>
    <w:multiLevelType w:val="hybridMultilevel"/>
    <w:tmpl w:val="C9428C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0"/>
  </w:num>
  <w:num w:numId="5">
    <w:abstractNumId w:val="11"/>
  </w:num>
  <w:num w:numId="6">
    <w:abstractNumId w:val="1"/>
  </w:num>
  <w:num w:numId="7">
    <w:abstractNumId w:val="7"/>
  </w:num>
  <w:num w:numId="8">
    <w:abstractNumId w:val="3"/>
  </w:num>
  <w:num w:numId="9">
    <w:abstractNumId w:val="5"/>
  </w:num>
  <w:num w:numId="10">
    <w:abstractNumId w:val="9"/>
  </w:num>
  <w:num w:numId="11">
    <w:abstractNumId w:val="4"/>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useFELayout/>
  </w:compat>
  <w:rsids>
    <w:rsidRoot w:val="002951C5"/>
    <w:rsid w:val="00000805"/>
    <w:rsid w:val="00010E48"/>
    <w:rsid w:val="00016133"/>
    <w:rsid w:val="0004799A"/>
    <w:rsid w:val="00052586"/>
    <w:rsid w:val="00057132"/>
    <w:rsid w:val="00093962"/>
    <w:rsid w:val="0009652E"/>
    <w:rsid w:val="000A3B73"/>
    <w:rsid w:val="000B1C68"/>
    <w:rsid w:val="000B49A8"/>
    <w:rsid w:val="000B52E8"/>
    <w:rsid w:val="000C134F"/>
    <w:rsid w:val="000C3DC8"/>
    <w:rsid w:val="000D0B3C"/>
    <w:rsid w:val="000E5F31"/>
    <w:rsid w:val="000E6349"/>
    <w:rsid w:val="00100100"/>
    <w:rsid w:val="001026A1"/>
    <w:rsid w:val="00105576"/>
    <w:rsid w:val="00110854"/>
    <w:rsid w:val="0011407A"/>
    <w:rsid w:val="00115C1F"/>
    <w:rsid w:val="00123818"/>
    <w:rsid w:val="00134B01"/>
    <w:rsid w:val="00134E38"/>
    <w:rsid w:val="00136124"/>
    <w:rsid w:val="00141A45"/>
    <w:rsid w:val="00147C7F"/>
    <w:rsid w:val="0015141E"/>
    <w:rsid w:val="0015301E"/>
    <w:rsid w:val="00155152"/>
    <w:rsid w:val="001666B3"/>
    <w:rsid w:val="001710D6"/>
    <w:rsid w:val="0017417D"/>
    <w:rsid w:val="00177AD6"/>
    <w:rsid w:val="00186F8B"/>
    <w:rsid w:val="001871ED"/>
    <w:rsid w:val="001A0278"/>
    <w:rsid w:val="001A2A3A"/>
    <w:rsid w:val="001A3734"/>
    <w:rsid w:val="001B3417"/>
    <w:rsid w:val="001D33B6"/>
    <w:rsid w:val="001D4DC9"/>
    <w:rsid w:val="001D70CF"/>
    <w:rsid w:val="001E29F4"/>
    <w:rsid w:val="001E2ABC"/>
    <w:rsid w:val="001E50A3"/>
    <w:rsid w:val="001E737F"/>
    <w:rsid w:val="001F13B5"/>
    <w:rsid w:val="001F3203"/>
    <w:rsid w:val="001F7C8D"/>
    <w:rsid w:val="00200A78"/>
    <w:rsid w:val="00203D73"/>
    <w:rsid w:val="0022129A"/>
    <w:rsid w:val="00223FBD"/>
    <w:rsid w:val="00231832"/>
    <w:rsid w:val="002324A1"/>
    <w:rsid w:val="0024756C"/>
    <w:rsid w:val="00247A73"/>
    <w:rsid w:val="002506F6"/>
    <w:rsid w:val="00272D0E"/>
    <w:rsid w:val="00276869"/>
    <w:rsid w:val="002951C5"/>
    <w:rsid w:val="00295630"/>
    <w:rsid w:val="00295E9E"/>
    <w:rsid w:val="002A0AE6"/>
    <w:rsid w:val="002A1CB8"/>
    <w:rsid w:val="002B7118"/>
    <w:rsid w:val="002C47A1"/>
    <w:rsid w:val="002D18ED"/>
    <w:rsid w:val="002D2823"/>
    <w:rsid w:val="002E4AC4"/>
    <w:rsid w:val="002E67F4"/>
    <w:rsid w:val="002F25DB"/>
    <w:rsid w:val="003008CF"/>
    <w:rsid w:val="00302907"/>
    <w:rsid w:val="00305E75"/>
    <w:rsid w:val="003102EF"/>
    <w:rsid w:val="00315D4C"/>
    <w:rsid w:val="00323F8C"/>
    <w:rsid w:val="00327597"/>
    <w:rsid w:val="00341A36"/>
    <w:rsid w:val="003440DA"/>
    <w:rsid w:val="00352432"/>
    <w:rsid w:val="00354A60"/>
    <w:rsid w:val="003555AD"/>
    <w:rsid w:val="00374347"/>
    <w:rsid w:val="00385C1C"/>
    <w:rsid w:val="003D069B"/>
    <w:rsid w:val="003D37FD"/>
    <w:rsid w:val="003E2BF8"/>
    <w:rsid w:val="003E44F5"/>
    <w:rsid w:val="003F043C"/>
    <w:rsid w:val="003F0F65"/>
    <w:rsid w:val="003F3446"/>
    <w:rsid w:val="003F7FD2"/>
    <w:rsid w:val="00402173"/>
    <w:rsid w:val="00403516"/>
    <w:rsid w:val="00405D4C"/>
    <w:rsid w:val="00417B78"/>
    <w:rsid w:val="00424D12"/>
    <w:rsid w:val="00427749"/>
    <w:rsid w:val="0043297C"/>
    <w:rsid w:val="00444FA7"/>
    <w:rsid w:val="00455FF0"/>
    <w:rsid w:val="004748E4"/>
    <w:rsid w:val="004929D5"/>
    <w:rsid w:val="004A01EC"/>
    <w:rsid w:val="004A3673"/>
    <w:rsid w:val="004C308E"/>
    <w:rsid w:val="004C34E9"/>
    <w:rsid w:val="004C49D1"/>
    <w:rsid w:val="004D272A"/>
    <w:rsid w:val="004D7F30"/>
    <w:rsid w:val="00500FDB"/>
    <w:rsid w:val="005040A9"/>
    <w:rsid w:val="00504BA5"/>
    <w:rsid w:val="005065A0"/>
    <w:rsid w:val="005116C3"/>
    <w:rsid w:val="005162A9"/>
    <w:rsid w:val="00537511"/>
    <w:rsid w:val="00540047"/>
    <w:rsid w:val="00543ACA"/>
    <w:rsid w:val="00555A33"/>
    <w:rsid w:val="0056120D"/>
    <w:rsid w:val="00561CD6"/>
    <w:rsid w:val="00570735"/>
    <w:rsid w:val="00582598"/>
    <w:rsid w:val="00583392"/>
    <w:rsid w:val="00586A7C"/>
    <w:rsid w:val="00587139"/>
    <w:rsid w:val="00590932"/>
    <w:rsid w:val="00590FE5"/>
    <w:rsid w:val="00594FFF"/>
    <w:rsid w:val="005A0031"/>
    <w:rsid w:val="005A095B"/>
    <w:rsid w:val="005A14DA"/>
    <w:rsid w:val="005A6CD8"/>
    <w:rsid w:val="005C02D3"/>
    <w:rsid w:val="005C4602"/>
    <w:rsid w:val="005C6178"/>
    <w:rsid w:val="005D1ABC"/>
    <w:rsid w:val="005E0E49"/>
    <w:rsid w:val="005E152A"/>
    <w:rsid w:val="005E48E6"/>
    <w:rsid w:val="005F0DA4"/>
    <w:rsid w:val="005F3CF8"/>
    <w:rsid w:val="00613FD9"/>
    <w:rsid w:val="0063004D"/>
    <w:rsid w:val="0064096B"/>
    <w:rsid w:val="00650778"/>
    <w:rsid w:val="00675945"/>
    <w:rsid w:val="006814C7"/>
    <w:rsid w:val="006A5A9D"/>
    <w:rsid w:val="006B1364"/>
    <w:rsid w:val="006B4BBA"/>
    <w:rsid w:val="006D2653"/>
    <w:rsid w:val="006D657E"/>
    <w:rsid w:val="006F1ADD"/>
    <w:rsid w:val="006F291E"/>
    <w:rsid w:val="006F3B43"/>
    <w:rsid w:val="007066AC"/>
    <w:rsid w:val="00717150"/>
    <w:rsid w:val="00720DB4"/>
    <w:rsid w:val="007261EE"/>
    <w:rsid w:val="00732B55"/>
    <w:rsid w:val="0074340D"/>
    <w:rsid w:val="00753E2A"/>
    <w:rsid w:val="00772203"/>
    <w:rsid w:val="0077398A"/>
    <w:rsid w:val="0079212E"/>
    <w:rsid w:val="00795946"/>
    <w:rsid w:val="00796258"/>
    <w:rsid w:val="007A2DF7"/>
    <w:rsid w:val="007C1E22"/>
    <w:rsid w:val="007D1D41"/>
    <w:rsid w:val="007E3D5A"/>
    <w:rsid w:val="007F05BE"/>
    <w:rsid w:val="007F23B6"/>
    <w:rsid w:val="007F43FF"/>
    <w:rsid w:val="007F5D05"/>
    <w:rsid w:val="007F5DA4"/>
    <w:rsid w:val="007F632C"/>
    <w:rsid w:val="00844543"/>
    <w:rsid w:val="00847EBC"/>
    <w:rsid w:val="008548AC"/>
    <w:rsid w:val="00855543"/>
    <w:rsid w:val="0085650F"/>
    <w:rsid w:val="008629C1"/>
    <w:rsid w:val="00864C30"/>
    <w:rsid w:val="008655EC"/>
    <w:rsid w:val="0088389F"/>
    <w:rsid w:val="00884809"/>
    <w:rsid w:val="008877B5"/>
    <w:rsid w:val="008937B3"/>
    <w:rsid w:val="008B2EC3"/>
    <w:rsid w:val="008B50EC"/>
    <w:rsid w:val="008B6D50"/>
    <w:rsid w:val="008C18DE"/>
    <w:rsid w:val="008C1E2E"/>
    <w:rsid w:val="008D05AA"/>
    <w:rsid w:val="008D4E96"/>
    <w:rsid w:val="008D64AE"/>
    <w:rsid w:val="008E31AF"/>
    <w:rsid w:val="008E52A7"/>
    <w:rsid w:val="00906A00"/>
    <w:rsid w:val="00911D3E"/>
    <w:rsid w:val="0091333B"/>
    <w:rsid w:val="009148CB"/>
    <w:rsid w:val="00915C41"/>
    <w:rsid w:val="00922CA6"/>
    <w:rsid w:val="00932638"/>
    <w:rsid w:val="009349DE"/>
    <w:rsid w:val="00946EDA"/>
    <w:rsid w:val="009553E9"/>
    <w:rsid w:val="00960EFD"/>
    <w:rsid w:val="009665B6"/>
    <w:rsid w:val="00971CEB"/>
    <w:rsid w:val="009768FE"/>
    <w:rsid w:val="00980FE1"/>
    <w:rsid w:val="00984277"/>
    <w:rsid w:val="0098492B"/>
    <w:rsid w:val="00984966"/>
    <w:rsid w:val="009902EE"/>
    <w:rsid w:val="00992863"/>
    <w:rsid w:val="00993012"/>
    <w:rsid w:val="00993DBE"/>
    <w:rsid w:val="009A2EF5"/>
    <w:rsid w:val="009A33E8"/>
    <w:rsid w:val="009C08E8"/>
    <w:rsid w:val="009C689F"/>
    <w:rsid w:val="009E29AA"/>
    <w:rsid w:val="009F0C6C"/>
    <w:rsid w:val="00A05011"/>
    <w:rsid w:val="00A051D8"/>
    <w:rsid w:val="00A0598E"/>
    <w:rsid w:val="00A065A5"/>
    <w:rsid w:val="00A12BC6"/>
    <w:rsid w:val="00A20E98"/>
    <w:rsid w:val="00A245C4"/>
    <w:rsid w:val="00A30ECA"/>
    <w:rsid w:val="00A372D0"/>
    <w:rsid w:val="00A37DBF"/>
    <w:rsid w:val="00A45B67"/>
    <w:rsid w:val="00A51109"/>
    <w:rsid w:val="00A61036"/>
    <w:rsid w:val="00A66ADF"/>
    <w:rsid w:val="00A66CC4"/>
    <w:rsid w:val="00A70258"/>
    <w:rsid w:val="00A835A5"/>
    <w:rsid w:val="00A84F44"/>
    <w:rsid w:val="00A95C5D"/>
    <w:rsid w:val="00AA1913"/>
    <w:rsid w:val="00AA4BE2"/>
    <w:rsid w:val="00AB1ADE"/>
    <w:rsid w:val="00AB2B25"/>
    <w:rsid w:val="00AC6C34"/>
    <w:rsid w:val="00AD5AA8"/>
    <w:rsid w:val="00AE3B3B"/>
    <w:rsid w:val="00AE7479"/>
    <w:rsid w:val="00AE7B3D"/>
    <w:rsid w:val="00AF0243"/>
    <w:rsid w:val="00AF17B0"/>
    <w:rsid w:val="00AF4656"/>
    <w:rsid w:val="00AF5250"/>
    <w:rsid w:val="00B1026D"/>
    <w:rsid w:val="00B351DE"/>
    <w:rsid w:val="00B46826"/>
    <w:rsid w:val="00B5379D"/>
    <w:rsid w:val="00B67616"/>
    <w:rsid w:val="00B71EE0"/>
    <w:rsid w:val="00B848FE"/>
    <w:rsid w:val="00BA0E0D"/>
    <w:rsid w:val="00BA54A3"/>
    <w:rsid w:val="00BA55AE"/>
    <w:rsid w:val="00BA7665"/>
    <w:rsid w:val="00BB507A"/>
    <w:rsid w:val="00BD1DE9"/>
    <w:rsid w:val="00BD403F"/>
    <w:rsid w:val="00BD6364"/>
    <w:rsid w:val="00BE1ADE"/>
    <w:rsid w:val="00BE512B"/>
    <w:rsid w:val="00BE686E"/>
    <w:rsid w:val="00C05076"/>
    <w:rsid w:val="00C26B7E"/>
    <w:rsid w:val="00C26F0D"/>
    <w:rsid w:val="00C32A61"/>
    <w:rsid w:val="00C443D1"/>
    <w:rsid w:val="00C64771"/>
    <w:rsid w:val="00C64897"/>
    <w:rsid w:val="00C7552D"/>
    <w:rsid w:val="00C9698F"/>
    <w:rsid w:val="00CA1802"/>
    <w:rsid w:val="00CA256B"/>
    <w:rsid w:val="00CA2E59"/>
    <w:rsid w:val="00CA779B"/>
    <w:rsid w:val="00CB14F3"/>
    <w:rsid w:val="00CE702D"/>
    <w:rsid w:val="00D06A6C"/>
    <w:rsid w:val="00D1105D"/>
    <w:rsid w:val="00D263E7"/>
    <w:rsid w:val="00D35E98"/>
    <w:rsid w:val="00D37AF5"/>
    <w:rsid w:val="00D46CCE"/>
    <w:rsid w:val="00D502C0"/>
    <w:rsid w:val="00D5410A"/>
    <w:rsid w:val="00D67044"/>
    <w:rsid w:val="00D836BE"/>
    <w:rsid w:val="00D86446"/>
    <w:rsid w:val="00D9248C"/>
    <w:rsid w:val="00D939AD"/>
    <w:rsid w:val="00D94B53"/>
    <w:rsid w:val="00D97D2A"/>
    <w:rsid w:val="00DB4AF7"/>
    <w:rsid w:val="00DB5883"/>
    <w:rsid w:val="00DB59CE"/>
    <w:rsid w:val="00DC1D28"/>
    <w:rsid w:val="00DC491C"/>
    <w:rsid w:val="00DC5F1E"/>
    <w:rsid w:val="00DE6247"/>
    <w:rsid w:val="00DE7B7F"/>
    <w:rsid w:val="00DF6DE0"/>
    <w:rsid w:val="00DF762B"/>
    <w:rsid w:val="00E07BB7"/>
    <w:rsid w:val="00E11817"/>
    <w:rsid w:val="00E22927"/>
    <w:rsid w:val="00E30FF4"/>
    <w:rsid w:val="00E51A7B"/>
    <w:rsid w:val="00E6198A"/>
    <w:rsid w:val="00E64907"/>
    <w:rsid w:val="00E71B74"/>
    <w:rsid w:val="00E80280"/>
    <w:rsid w:val="00E806FB"/>
    <w:rsid w:val="00E8140A"/>
    <w:rsid w:val="00E85C2A"/>
    <w:rsid w:val="00E92056"/>
    <w:rsid w:val="00E96D22"/>
    <w:rsid w:val="00E96DC2"/>
    <w:rsid w:val="00EA086B"/>
    <w:rsid w:val="00EA703E"/>
    <w:rsid w:val="00EB0147"/>
    <w:rsid w:val="00EB2591"/>
    <w:rsid w:val="00EB7268"/>
    <w:rsid w:val="00ED6CD1"/>
    <w:rsid w:val="00F0030B"/>
    <w:rsid w:val="00F0096E"/>
    <w:rsid w:val="00F06420"/>
    <w:rsid w:val="00F07648"/>
    <w:rsid w:val="00F11564"/>
    <w:rsid w:val="00F13089"/>
    <w:rsid w:val="00F30B64"/>
    <w:rsid w:val="00F30DAC"/>
    <w:rsid w:val="00F32CD8"/>
    <w:rsid w:val="00F35F4F"/>
    <w:rsid w:val="00F4294C"/>
    <w:rsid w:val="00F515E8"/>
    <w:rsid w:val="00F52AD6"/>
    <w:rsid w:val="00F55512"/>
    <w:rsid w:val="00F61ED4"/>
    <w:rsid w:val="00F709E3"/>
    <w:rsid w:val="00F70DC6"/>
    <w:rsid w:val="00F824CC"/>
    <w:rsid w:val="00F86663"/>
    <w:rsid w:val="00F87AD6"/>
    <w:rsid w:val="00FA5AF7"/>
    <w:rsid w:val="00FD44EE"/>
    <w:rsid w:val="00FD700B"/>
    <w:rsid w:val="00FF1D00"/>
    <w:rsid w:val="00FF4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9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2E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CA2E59"/>
    <w:pPr>
      <w:ind w:left="720"/>
      <w:contextualSpacing/>
    </w:pPr>
  </w:style>
  <w:style w:type="table" w:styleId="Listaclara-nfasis5">
    <w:name w:val="Light List Accent 5"/>
    <w:basedOn w:val="Tablanormal"/>
    <w:uiPriority w:val="61"/>
    <w:rsid w:val="00CA2E5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odeglobo">
    <w:name w:val="Balloon Text"/>
    <w:basedOn w:val="Normal"/>
    <w:link w:val="TextodegloboCar"/>
    <w:uiPriority w:val="99"/>
    <w:semiHidden/>
    <w:unhideWhenUsed/>
    <w:rsid w:val="00FF1D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D00"/>
    <w:rPr>
      <w:rFonts w:ascii="Tahoma" w:hAnsi="Tahoma" w:cs="Tahoma"/>
      <w:sz w:val="16"/>
      <w:szCs w:val="16"/>
    </w:rPr>
  </w:style>
  <w:style w:type="character" w:styleId="Hipervnculo">
    <w:name w:val="Hyperlink"/>
    <w:basedOn w:val="Fuentedeprrafopredeter"/>
    <w:uiPriority w:val="99"/>
    <w:unhideWhenUsed/>
    <w:rsid w:val="00855543"/>
    <w:rPr>
      <w:color w:val="0000FF" w:themeColor="hyperlink"/>
      <w:u w:val="single"/>
    </w:rPr>
  </w:style>
  <w:style w:type="character" w:styleId="Textodelmarcadordeposicin">
    <w:name w:val="Placeholder Text"/>
    <w:basedOn w:val="Fuentedeprrafopredeter"/>
    <w:uiPriority w:val="99"/>
    <w:semiHidden/>
    <w:rsid w:val="001D4DC9"/>
    <w:rPr>
      <w:color w:val="808080"/>
    </w:rPr>
  </w:style>
  <w:style w:type="paragraph" w:styleId="HTMLconformatoprevio">
    <w:name w:val="HTML Preformatted"/>
    <w:basedOn w:val="Normal"/>
    <w:link w:val="HTMLconformatoprevioCar"/>
    <w:uiPriority w:val="99"/>
    <w:semiHidden/>
    <w:unhideWhenUsed/>
    <w:rsid w:val="00F5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F515E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23583667">
      <w:bodyDiv w:val="1"/>
      <w:marLeft w:val="0"/>
      <w:marRight w:val="0"/>
      <w:marTop w:val="0"/>
      <w:marBottom w:val="0"/>
      <w:divBdr>
        <w:top w:val="none" w:sz="0" w:space="0" w:color="auto"/>
        <w:left w:val="none" w:sz="0" w:space="0" w:color="auto"/>
        <w:bottom w:val="none" w:sz="0" w:space="0" w:color="auto"/>
        <w:right w:val="none" w:sz="0" w:space="0" w:color="auto"/>
      </w:divBdr>
    </w:div>
    <w:div w:id="1306885460">
      <w:bodyDiv w:val="1"/>
      <w:marLeft w:val="0"/>
      <w:marRight w:val="0"/>
      <w:marTop w:val="0"/>
      <w:marBottom w:val="0"/>
      <w:divBdr>
        <w:top w:val="none" w:sz="0" w:space="0" w:color="auto"/>
        <w:left w:val="none" w:sz="0" w:space="0" w:color="auto"/>
        <w:bottom w:val="none" w:sz="0" w:space="0" w:color="auto"/>
        <w:right w:val="none" w:sz="0" w:space="0" w:color="auto"/>
      </w:divBdr>
    </w:div>
    <w:div w:id="134882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zim://A/Uremia.html" TargetMode="External"/><Relationship Id="rId13" Type="http://schemas.openxmlformats.org/officeDocument/2006/relationships/hyperlink" Target="zim://A/Necrosis_tubular_aguda.html" TargetMode="External"/><Relationship Id="rId18" Type="http://schemas.openxmlformats.org/officeDocument/2006/relationships/image" Target="media/image2.png"/><Relationship Id="rId26" Type="http://schemas.openxmlformats.org/officeDocument/2006/relationships/hyperlink" Target="http://scieloprueba.sld.cu/scielo.php?script=sci_arttext&amp;pid=S1684-18242012000200003&amp;lng=es" TargetMode="External"/><Relationship Id="rId39" Type="http://schemas.openxmlformats.org/officeDocument/2006/relationships/hyperlink" Target="http://refhub.elsevier.com/S0211-6995(16)30183-7/sbref0050" TargetMode="External"/><Relationship Id="rId3" Type="http://schemas.openxmlformats.org/officeDocument/2006/relationships/styles" Target="styles.xml"/><Relationship Id="rId21" Type="http://schemas.openxmlformats.org/officeDocument/2006/relationships/hyperlink" Target="zim://A/Trasplante_de_ri%C3%B1%C3%B3n.html" TargetMode="External"/><Relationship Id="rId34" Type="http://schemas.openxmlformats.org/officeDocument/2006/relationships/hyperlink" Target="http://www.biomedcentral.com/" TargetMode="External"/><Relationship Id="rId42" Type="http://schemas.openxmlformats.org/officeDocument/2006/relationships/hyperlink" Target="http://www.revistanefrologia.com" TargetMode="External"/><Relationship Id="rId7" Type="http://schemas.openxmlformats.org/officeDocument/2006/relationships/hyperlink" Target="zim://A/Medicina.html" TargetMode="External"/><Relationship Id="rId12" Type="http://schemas.openxmlformats.org/officeDocument/2006/relationships/hyperlink" Target="zim://A/Reino_Unido.html" TargetMode="External"/><Relationship Id="rId17" Type="http://schemas.openxmlformats.org/officeDocument/2006/relationships/hyperlink" Target="zim://A/Vietnam.html" TargetMode="External"/><Relationship Id="rId25" Type="http://schemas.openxmlformats.org/officeDocument/2006/relationships/image" Target="media/image5.png"/><Relationship Id="rId33" Type="http://schemas.openxmlformats.org/officeDocument/2006/relationships/hyperlink" Target="http://www.revistanefrologia.com" TargetMode="External"/><Relationship Id="rId38" Type="http://schemas.openxmlformats.org/officeDocument/2006/relationships/hyperlink" Target="http://refhub.elsevier.com/S0211-6995(17)30091-7/sbref0060" TargetMode="External"/><Relationship Id="rId2" Type="http://schemas.openxmlformats.org/officeDocument/2006/relationships/numbering" Target="numbering.xml"/><Relationship Id="rId16" Type="http://schemas.openxmlformats.org/officeDocument/2006/relationships/hyperlink" Target="zim://A/Corea.html" TargetMode="External"/><Relationship Id="rId20" Type="http://schemas.openxmlformats.org/officeDocument/2006/relationships/hyperlink" Target="zim://A/Hemofiltraci%C3%B3n.html" TargetMode="External"/><Relationship Id="rId29" Type="http://schemas.openxmlformats.org/officeDocument/2006/relationships/hyperlink" Target="http://www.mediagraphic.org.mex" TargetMode="External"/><Relationship Id="rId41" Type="http://schemas.openxmlformats.org/officeDocument/2006/relationships/hyperlink" Target="http://www.revistanefrologia.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zim://A/Uretra.html" TargetMode="External"/><Relationship Id="rId24" Type="http://schemas.openxmlformats.org/officeDocument/2006/relationships/image" Target="media/image4.png"/><Relationship Id="rId32" Type="http://schemas.openxmlformats.org/officeDocument/2006/relationships/hyperlink" Target="http://www.medicinainterna.org.mx" TargetMode="External"/><Relationship Id="rId37" Type="http://schemas.openxmlformats.org/officeDocument/2006/relationships/hyperlink" Target="http://www.medicinainterna.org.mx" TargetMode="External"/><Relationship Id="rId40" Type="http://schemas.openxmlformats.org/officeDocument/2006/relationships/hyperlink" Target="http://www.medicinainterna.org.mx" TargetMode="External"/><Relationship Id="rId5" Type="http://schemas.openxmlformats.org/officeDocument/2006/relationships/webSettings" Target="webSettings.xml"/><Relationship Id="rId15" Type="http://schemas.openxmlformats.org/officeDocument/2006/relationships/hyperlink" Target="zim://A/Batalla_de_Inglaterra.html" TargetMode="External"/><Relationship Id="rId23" Type="http://schemas.openxmlformats.org/officeDocument/2006/relationships/image" Target="media/image3.png"/><Relationship Id="rId28" Type="http://schemas.openxmlformats.org/officeDocument/2006/relationships/hyperlink" Target="http://files.sld.cu/bvscuba/files/2017/04/anuarioestadistico-de-salud2016.pdf" TargetMode="External"/><Relationship Id="rId36" Type="http://schemas.openxmlformats.org/officeDocument/2006/relationships/hyperlink" Target="http://www.medigraphic.com/rma" TargetMode="External"/><Relationship Id="rId10" Type="http://schemas.openxmlformats.org/officeDocument/2006/relationships/hyperlink" Target="zim://A/Oliguria.html" TargetMode="External"/><Relationship Id="rId19" Type="http://schemas.openxmlformats.org/officeDocument/2006/relationships/hyperlink" Target="zim://A/Di%C3%A1lisis_renal.html" TargetMode="External"/><Relationship Id="rId31" Type="http://schemas.openxmlformats.org/officeDocument/2006/relationships/hyperlink" Target="http://www.revistanefrologia.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zim://A/1847.html" TargetMode="External"/><Relationship Id="rId14" Type="http://schemas.openxmlformats.org/officeDocument/2006/relationships/hyperlink" Target="zim://A/1940.html" TargetMode="External"/><Relationship Id="rId22" Type="http://schemas.openxmlformats.org/officeDocument/2006/relationships/chart" Target="charts/chart1.xml"/><Relationship Id="rId27" Type="http://schemas.openxmlformats.org/officeDocument/2006/relationships/hyperlink" Target="http://dx.doi.org/10.1016/j.nefro.2017.03.010" TargetMode="External"/><Relationship Id="rId30" Type="http://schemas.openxmlformats.org/officeDocument/2006/relationships/hyperlink" Target="http://informahealthcare.com/rnf" TargetMode="External"/><Relationship Id="rId35" Type="http://schemas.openxmlformats.org/officeDocument/2006/relationships/hyperlink" Target="http://www.revistanefrologia.com"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percentStacked"/>
        <c:ser>
          <c:idx val="0"/>
          <c:order val="0"/>
          <c:tx>
            <c:strRef>
              <c:f>Hoja1!$B$1</c:f>
              <c:strCache>
                <c:ptCount val="1"/>
                <c:pt idx="0">
                  <c:v>Vivo</c:v>
                </c:pt>
              </c:strCache>
            </c:strRef>
          </c:tx>
          <c:cat>
            <c:strRef>
              <c:f>Hoja1!$A$2:$A$4</c:f>
              <c:strCache>
                <c:ptCount val="3"/>
                <c:pt idx="0">
                  <c:v>Tertil 1</c:v>
                </c:pt>
                <c:pt idx="1">
                  <c:v>Tertil 2</c:v>
                </c:pt>
                <c:pt idx="2">
                  <c:v>Tertil 3</c:v>
                </c:pt>
              </c:strCache>
            </c:strRef>
          </c:cat>
          <c:val>
            <c:numRef>
              <c:f>Hoja1!$B$2:$B$4</c:f>
              <c:numCache>
                <c:formatCode>0</c:formatCode>
                <c:ptCount val="3"/>
                <c:pt idx="0">
                  <c:v>65</c:v>
                </c:pt>
                <c:pt idx="1">
                  <c:v>50</c:v>
                </c:pt>
                <c:pt idx="2">
                  <c:v>31</c:v>
                </c:pt>
              </c:numCache>
            </c:numRef>
          </c:val>
        </c:ser>
        <c:ser>
          <c:idx val="1"/>
          <c:order val="1"/>
          <c:tx>
            <c:strRef>
              <c:f>Hoja1!$C$1</c:f>
              <c:strCache>
                <c:ptCount val="1"/>
                <c:pt idx="0">
                  <c:v>Fallecido</c:v>
                </c:pt>
              </c:strCache>
            </c:strRef>
          </c:tx>
          <c:cat>
            <c:strRef>
              <c:f>Hoja1!$A$2:$A$4</c:f>
              <c:strCache>
                <c:ptCount val="3"/>
                <c:pt idx="0">
                  <c:v>Tertil 1</c:v>
                </c:pt>
                <c:pt idx="1">
                  <c:v>Tertil 2</c:v>
                </c:pt>
                <c:pt idx="2">
                  <c:v>Tertil 3</c:v>
                </c:pt>
              </c:strCache>
            </c:strRef>
          </c:cat>
          <c:val>
            <c:numRef>
              <c:f>Hoja1!$C$2:$C$4</c:f>
              <c:numCache>
                <c:formatCode>0</c:formatCode>
                <c:ptCount val="3"/>
                <c:pt idx="0">
                  <c:v>14</c:v>
                </c:pt>
                <c:pt idx="1">
                  <c:v>29</c:v>
                </c:pt>
                <c:pt idx="2">
                  <c:v>49</c:v>
                </c:pt>
              </c:numCache>
            </c:numRef>
          </c:val>
        </c:ser>
        <c:shape val="cylinder"/>
        <c:axId val="109184896"/>
        <c:axId val="114579712"/>
        <c:axId val="0"/>
      </c:bar3DChart>
      <c:catAx>
        <c:axId val="109184896"/>
        <c:scaling>
          <c:orientation val="minMax"/>
        </c:scaling>
        <c:axPos val="b"/>
        <c:tickLblPos val="nextTo"/>
        <c:txPr>
          <a:bodyPr/>
          <a:lstStyle/>
          <a:p>
            <a:pPr>
              <a:defRPr lang="es-ES"/>
            </a:pPr>
            <a:endParaRPr lang="en-US"/>
          </a:p>
        </c:txPr>
        <c:crossAx val="114579712"/>
        <c:crosses val="autoZero"/>
        <c:auto val="1"/>
        <c:lblAlgn val="ctr"/>
        <c:lblOffset val="100"/>
      </c:catAx>
      <c:valAx>
        <c:axId val="114579712"/>
        <c:scaling>
          <c:orientation val="minMax"/>
        </c:scaling>
        <c:axPos val="l"/>
        <c:majorGridlines/>
        <c:numFmt formatCode="0%" sourceLinked="1"/>
        <c:tickLblPos val="nextTo"/>
        <c:txPr>
          <a:bodyPr/>
          <a:lstStyle/>
          <a:p>
            <a:pPr>
              <a:defRPr lang="es-ES"/>
            </a:pPr>
            <a:endParaRPr lang="en-US"/>
          </a:p>
        </c:txPr>
        <c:crossAx val="109184896"/>
        <c:crosses val="autoZero"/>
        <c:crossBetween val="between"/>
      </c:valAx>
    </c:plotArea>
    <c:legend>
      <c:legendPos val="r"/>
      <c:txPr>
        <a:bodyPr/>
        <a:lstStyle/>
        <a:p>
          <a:pPr>
            <a:defRPr lang="es-ES"/>
          </a:pPr>
          <a:endParaRPr lang="en-US"/>
        </a:p>
      </c:txP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21195-B1E7-4E06-B00B-4EC6C2E1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40</Pages>
  <Words>9373</Words>
  <Characters>53427</Characters>
  <Application>Microsoft Office Word</Application>
  <DocSecurity>0</DocSecurity>
  <Lines>445</Lines>
  <Paragraphs>125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338</cp:revision>
  <dcterms:created xsi:type="dcterms:W3CDTF">2018-11-02T12:34:00Z</dcterms:created>
  <dcterms:modified xsi:type="dcterms:W3CDTF">2023-05-05T18:04:00Z</dcterms:modified>
</cp:coreProperties>
</file>