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Arial" w:cs="Arial" w:hAnsi="Arial"/>
          <w:noProof/>
          <w:sz w:val="24"/>
          <w:szCs w:val="24"/>
          <w:lang w:val="es-ES" w:eastAsia="es-ES"/>
        </w:rPr>
      </w:pPr>
      <w:r>
        <w:rPr>
          <w:rFonts w:ascii="Arial" w:cs="Arial" w:hAnsi="Arial"/>
          <w:noProof/>
          <w:sz w:val="24"/>
          <w:szCs w:val="24"/>
          <w:lang w:val="es-ES" w:eastAsia="es-ES"/>
        </w:rPr>
        <w:drawing>
          <wp:inline distT="0" distB="0" distL="0" distR="0">
            <wp:extent cx="2317115" cy="1344295"/>
            <wp:effectExtent l="0" t="0" r="6985" b="8255"/>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2317115" cy="1344295"/>
                    </a:xfrm>
                    <a:prstGeom prst="rect">
                      <a:avLst/>
                    </a:prstGeom>
                  </pic:spPr>
                </pic:pic>
              </a:graphicData>
            </a:graphic>
          </wp:inline>
        </w:drawing>
      </w:r>
    </w:p>
    <w:p>
      <w:pPr>
        <w:pStyle w:val="style0"/>
        <w:suppressAutoHyphens/>
        <w:spacing w:after="0" w:lineRule="auto" w:line="360"/>
        <w:jc w:val="center"/>
        <w:rPr>
          <w:rFonts w:ascii="Arial" w:cs="Arial" w:eastAsia="Times New Roman" w:hAnsi="Arial"/>
          <w:b/>
          <w:sz w:val="24"/>
          <w:szCs w:val="24"/>
          <w:lang w:eastAsia="ar-SA"/>
        </w:rPr>
      </w:pPr>
    </w:p>
    <w:p>
      <w:pPr>
        <w:pStyle w:val="style0"/>
        <w:suppressAutoHyphens/>
        <w:spacing w:after="0" w:lineRule="auto" w:line="360"/>
        <w:jc w:val="center"/>
        <w:rPr>
          <w:rFonts w:ascii="Arial" w:cs="Arial" w:eastAsia="Times New Roman" w:hAnsi="Arial"/>
          <w:b/>
          <w:sz w:val="24"/>
          <w:szCs w:val="24"/>
          <w:lang w:eastAsia="ar-SA"/>
        </w:rPr>
      </w:pPr>
      <w:r>
        <w:rPr>
          <w:rFonts w:ascii="Arial" w:cs="Arial" w:eastAsia="Times New Roman" w:hAnsi="Arial"/>
          <w:b/>
          <w:sz w:val="24"/>
          <w:szCs w:val="24"/>
          <w:lang w:eastAsia="ar-SA"/>
        </w:rPr>
        <w:t>FACULTAD DE CIENCIAS MÉDICAS DE BAYAMO</w:t>
      </w:r>
    </w:p>
    <w:p>
      <w:pPr>
        <w:pStyle w:val="style0"/>
        <w:spacing w:lineRule="auto" w:line="360"/>
        <w:jc w:val="both"/>
        <w:outlineLvl w:val="0"/>
        <w:rPr>
          <w:rFonts w:ascii="Arial" w:cs="Arial" w:eastAsia="Times New Roman" w:hAnsi="Arial"/>
          <w:b/>
          <w:sz w:val="24"/>
          <w:szCs w:val="24"/>
          <w:lang w:eastAsia="ar-SA"/>
        </w:rPr>
      </w:pPr>
    </w:p>
    <w:p>
      <w:pPr>
        <w:pStyle w:val="style0"/>
        <w:spacing w:lineRule="auto" w:line="360"/>
        <w:jc w:val="center"/>
        <w:outlineLvl w:val="0"/>
        <w:rPr>
          <w:rFonts w:ascii="Arial" w:cs="Arial" w:eastAsia="Times New Roman" w:hAnsi="Arial"/>
          <w:b/>
          <w:sz w:val="24"/>
          <w:szCs w:val="24"/>
          <w:lang w:eastAsia="es-ES"/>
        </w:rPr>
      </w:pPr>
      <w:r>
        <w:rPr>
          <w:rFonts w:ascii="Arial" w:cs="Arial" w:hAnsi="Arial"/>
          <w:b/>
          <w:color w:val="000000"/>
          <w:sz w:val="32"/>
          <w:szCs w:val="32"/>
        </w:rPr>
        <w:t>ÍNDICE PR</w:t>
      </w:r>
      <w:r>
        <w:rPr>
          <w:rFonts w:ascii="Arial" w:cs="Arial" w:hAnsi="Arial"/>
          <w:b/>
          <w:color w:val="000000"/>
          <w:sz w:val="32"/>
          <w:szCs w:val="32"/>
        </w:rPr>
        <w:t>EDICTIV</w:t>
      </w:r>
      <w:r>
        <w:rPr>
          <w:rFonts w:ascii="Arial" w:cs="Arial" w:hAnsi="Arial"/>
          <w:b/>
          <w:color w:val="000000"/>
          <w:sz w:val="32"/>
          <w:szCs w:val="32"/>
        </w:rPr>
        <w:t>O DE MUERTE POR NEUMONÍA ADQUIRIDA EN LA COMUNIDAD EN LOS PACIENTES CON ENFERMED</w:t>
      </w:r>
      <w:r>
        <w:rPr>
          <w:rFonts w:ascii="Arial" w:cs="Arial" w:hAnsi="Arial"/>
          <w:b/>
          <w:color w:val="000000"/>
          <w:sz w:val="32"/>
          <w:szCs w:val="32"/>
        </w:rPr>
        <w:t>AD PULMONAR OBSTRUCTIVA CRÓNICA</w:t>
      </w:r>
      <w:bookmarkStart w:id="0" w:name="_GoBack"/>
      <w:bookmarkEnd w:id="0"/>
    </w:p>
    <w:p>
      <w:pPr>
        <w:pStyle w:val="style0"/>
        <w:spacing w:after="0" w:lineRule="auto" w:line="360"/>
        <w:jc w:val="both"/>
        <w:outlineLvl w:val="0"/>
        <w:rPr>
          <w:rFonts w:ascii="Arial" w:cs="Arial" w:eastAsia="Times New Roman" w:hAnsi="Arial"/>
          <w:b/>
          <w:sz w:val="24"/>
          <w:szCs w:val="24"/>
          <w:lang w:eastAsia="es-ES"/>
        </w:rPr>
      </w:pPr>
    </w:p>
    <w:p>
      <w:pPr>
        <w:pStyle w:val="style0"/>
        <w:spacing w:after="0" w:lineRule="auto" w:line="360"/>
        <w:jc w:val="both"/>
        <w:outlineLvl w:val="0"/>
        <w:rPr>
          <w:rFonts w:ascii="Arial" w:cs="Arial" w:eastAsia="Times New Roman" w:hAnsi="Arial"/>
          <w:i/>
          <w:sz w:val="24"/>
          <w:szCs w:val="24"/>
          <w:lang w:eastAsia="es-ES"/>
        </w:rPr>
      </w:pPr>
      <w:r>
        <w:rPr>
          <w:rFonts w:ascii="Arial" w:cs="Arial" w:eastAsia="Times New Roman" w:hAnsi="Arial"/>
          <w:b/>
          <w:sz w:val="24"/>
          <w:szCs w:val="24"/>
          <w:lang w:eastAsia="es-ES"/>
        </w:rPr>
        <w:t>Autor</w:t>
      </w:r>
      <w:r>
        <w:rPr>
          <w:rFonts w:ascii="Arial" w:cs="Arial" w:eastAsia="Times New Roman" w:hAnsi="Arial"/>
          <w:b/>
          <w:sz w:val="24"/>
          <w:szCs w:val="24"/>
          <w:lang w:eastAsia="es-ES"/>
        </w:rPr>
        <w:t>es</w:t>
      </w:r>
      <w:r>
        <w:rPr>
          <w:rFonts w:ascii="Arial" w:cs="Arial" w:eastAsia="Times New Roman" w:hAnsi="Arial"/>
          <w:b/>
          <w:sz w:val="24"/>
          <w:szCs w:val="24"/>
          <w:lang w:eastAsia="es-ES"/>
        </w:rPr>
        <w:t>:</w:t>
      </w:r>
      <w:r>
        <w:rPr>
          <w:rFonts w:ascii="Arial" w:cs="Arial" w:eastAsia="Times New Roman" w:hAnsi="Arial"/>
          <w:i/>
          <w:sz w:val="24"/>
          <w:szCs w:val="24"/>
          <w:lang w:eastAsia="es-ES"/>
        </w:rPr>
        <w:t xml:space="preserve"> </w:t>
      </w:r>
    </w:p>
    <w:p>
      <w:pPr>
        <w:pStyle w:val="style179"/>
        <w:numPr>
          <w:ilvl w:val="0"/>
          <w:numId w:val="1"/>
        </w:numPr>
        <w:spacing w:after="0" w:lineRule="auto" w:line="360"/>
        <w:jc w:val="both"/>
        <w:outlineLvl w:val="0"/>
        <w:rPr>
          <w:rFonts w:ascii="Arial" w:cs="Arial" w:eastAsia="Times New Roman" w:hAnsi="Arial"/>
          <w:i/>
          <w:sz w:val="24"/>
          <w:szCs w:val="24"/>
          <w:lang w:eastAsia="es-ES"/>
        </w:rPr>
      </w:pPr>
      <w:r>
        <w:rPr>
          <w:rFonts w:ascii="Arial" w:cs="Arial" w:eastAsia="Times New Roman" w:hAnsi="Arial"/>
          <w:i/>
          <w:sz w:val="24"/>
          <w:szCs w:val="24"/>
          <w:lang w:eastAsia="es-ES"/>
        </w:rPr>
        <w:t>Carlos Antonio López Batista *</w:t>
      </w:r>
    </w:p>
    <w:p>
      <w:pPr>
        <w:pStyle w:val="style179"/>
        <w:numPr>
          <w:ilvl w:val="0"/>
          <w:numId w:val="1"/>
        </w:numPr>
        <w:spacing w:after="0" w:lineRule="auto" w:line="360"/>
        <w:jc w:val="both"/>
        <w:outlineLvl w:val="0"/>
        <w:rPr>
          <w:rFonts w:ascii="Arial" w:cs="Arial" w:eastAsia="Times New Roman" w:hAnsi="Arial"/>
          <w:i/>
          <w:sz w:val="24"/>
          <w:szCs w:val="24"/>
          <w:lang w:eastAsia="es-ES"/>
        </w:rPr>
      </w:pPr>
      <w:r>
        <w:rPr>
          <w:rFonts w:ascii="Arial" w:cs="Arial" w:eastAsia="Times New Roman" w:hAnsi="Arial"/>
          <w:i/>
          <w:sz w:val="24"/>
          <w:szCs w:val="24"/>
          <w:lang w:eastAsia="es-ES"/>
        </w:rPr>
        <w:t>Liané Aimé Coronado Fuentes **</w:t>
      </w:r>
    </w:p>
    <w:p>
      <w:pPr>
        <w:pStyle w:val="style179"/>
        <w:numPr>
          <w:ilvl w:val="0"/>
          <w:numId w:val="1"/>
        </w:numPr>
        <w:spacing w:after="0" w:lineRule="auto" w:line="360"/>
        <w:jc w:val="both"/>
        <w:outlineLvl w:val="0"/>
        <w:rPr>
          <w:rFonts w:ascii="Arial" w:cs="Arial" w:eastAsia="Times New Roman" w:hAnsi="Arial"/>
          <w:i/>
          <w:sz w:val="24"/>
          <w:szCs w:val="24"/>
          <w:lang w:eastAsia="es-ES"/>
        </w:rPr>
      </w:pPr>
      <w:r>
        <w:rPr>
          <w:rFonts w:ascii="Arial" w:cs="Arial" w:eastAsia="Times New Roman" w:hAnsi="Arial"/>
          <w:i/>
          <w:sz w:val="24"/>
          <w:szCs w:val="24"/>
          <w:lang w:eastAsia="es-ES"/>
        </w:rPr>
        <w:t>Alejandra del Carmen Vázquez Pichs</w:t>
      </w:r>
      <w:r>
        <w:rPr>
          <w:rFonts w:ascii="Arial" w:cs="Arial" w:eastAsia="Times New Roman" w:hAnsi="Arial"/>
          <w:i/>
          <w:sz w:val="24"/>
          <w:szCs w:val="24"/>
          <w:lang w:eastAsia="es-ES"/>
        </w:rPr>
        <w:t xml:space="preserve"> *</w:t>
      </w:r>
      <w:r>
        <w:rPr>
          <w:rFonts w:ascii="Arial" w:cs="Arial" w:eastAsia="Times New Roman" w:hAnsi="Arial"/>
          <w:i/>
          <w:sz w:val="24"/>
          <w:szCs w:val="24"/>
          <w:lang w:eastAsia="es-ES"/>
        </w:rPr>
        <w:t>**</w:t>
      </w:r>
    </w:p>
    <w:p>
      <w:pPr>
        <w:pStyle w:val="style0"/>
        <w:spacing w:after="0" w:lineRule="auto" w:line="360"/>
        <w:jc w:val="both"/>
        <w:outlineLvl w:val="0"/>
        <w:rPr>
          <w:rFonts w:ascii="Arial" w:cs="Arial" w:eastAsia="Times New Roman" w:hAnsi="Arial"/>
          <w:b/>
          <w:sz w:val="24"/>
          <w:szCs w:val="24"/>
          <w:lang w:eastAsia="es-ES"/>
        </w:rPr>
      </w:pP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 </w:t>
      </w:r>
    </w:p>
    <w:p>
      <w:pPr>
        <w:pStyle w:val="style0"/>
        <w:spacing w:after="0" w:lineRule="auto" w:line="360"/>
        <w:jc w:val="both"/>
        <w:outlineLvl w:val="0"/>
        <w:rPr>
          <w:rFonts w:ascii="Arial" w:cs="Arial" w:eastAsia="Times New Roman" w:hAnsi="Arial"/>
          <w:b/>
          <w:sz w:val="24"/>
          <w:szCs w:val="24"/>
          <w:lang w:eastAsia="es-ES"/>
        </w:rPr>
      </w:pPr>
      <w:r>
        <w:rPr>
          <w:rFonts w:ascii="Arial" w:cs="Arial" w:eastAsia="Times New Roman" w:hAnsi="Arial"/>
          <w:b/>
          <w:sz w:val="24"/>
          <w:szCs w:val="24"/>
          <w:lang w:eastAsia="es-ES"/>
        </w:rPr>
        <w:t>Tutor</w:t>
      </w:r>
      <w:r>
        <w:rPr>
          <w:rFonts w:ascii="Arial" w:cs="Arial" w:eastAsia="Times New Roman" w:hAnsi="Arial"/>
          <w:b/>
          <w:sz w:val="24"/>
          <w:szCs w:val="24"/>
          <w:lang w:eastAsia="es-ES"/>
        </w:rPr>
        <w:t>es:</w:t>
      </w:r>
    </w:p>
    <w:p>
      <w:pPr>
        <w:pStyle w:val="style179"/>
        <w:numPr>
          <w:ilvl w:val="0"/>
          <w:numId w:val="9"/>
        </w:numPr>
        <w:spacing w:after="0" w:lineRule="auto" w:line="360"/>
        <w:jc w:val="both"/>
        <w:outlineLvl w:val="0"/>
        <w:rPr>
          <w:rFonts w:ascii="Arial" w:cs="Arial" w:eastAsia="Times New Roman" w:hAnsi="Arial"/>
          <w:b/>
          <w:sz w:val="24"/>
          <w:szCs w:val="24"/>
          <w:lang w:eastAsia="es-ES"/>
        </w:rPr>
      </w:pPr>
      <w:r>
        <w:rPr>
          <w:rFonts w:ascii="Arial" w:cs="Arial" w:eastAsia="Times New Roman" w:hAnsi="Arial"/>
          <w:sz w:val="24"/>
          <w:szCs w:val="24"/>
          <w:lang w:eastAsia="es-ES"/>
        </w:rPr>
        <w:t>Dr</w:t>
      </w:r>
      <w:r>
        <w:rPr>
          <w:rFonts w:ascii="Arial" w:cs="Arial" w:eastAsia="Times New Roman" w:hAnsi="Arial"/>
          <w:sz w:val="24"/>
          <w:szCs w:val="24"/>
          <w:lang w:eastAsia="es-ES"/>
        </w:rPr>
        <w:t>a</w:t>
      </w:r>
      <w:r>
        <w:rPr>
          <w:rFonts w:ascii="Arial" w:cs="Arial" w:eastAsia="Times New Roman" w:hAnsi="Arial"/>
          <w:sz w:val="24"/>
          <w:szCs w:val="24"/>
          <w:lang w:eastAsia="es-ES"/>
        </w:rPr>
        <w:t xml:space="preserve">. </w:t>
      </w:r>
      <w:r>
        <w:rPr>
          <w:rFonts w:ascii="Arial" w:cs="Arial" w:hAnsi="Arial"/>
          <w:sz w:val="24"/>
          <w:szCs w:val="24"/>
        </w:rPr>
        <w:t>Arlet</w:t>
      </w:r>
      <w:r>
        <w:rPr>
          <w:rFonts w:ascii="Arial" w:cs="Arial" w:hAnsi="Arial"/>
          <w:sz w:val="24"/>
          <w:szCs w:val="24"/>
        </w:rPr>
        <w:t xml:space="preserve"> Nat</w:t>
      </w:r>
      <w:r>
        <w:rPr>
          <w:rFonts w:ascii="Arial" w:cs="Arial" w:hAnsi="Arial"/>
          <w:sz w:val="24"/>
          <w:szCs w:val="24"/>
        </w:rPr>
        <w:t>alí Sánchez Fajardo</w:t>
      </w:r>
      <w:r>
        <w:rPr>
          <w:rFonts w:ascii="Arial" w:cs="Arial" w:hAnsi="Arial"/>
          <w:sz w:val="24"/>
          <w:szCs w:val="24"/>
        </w:rPr>
        <w:t xml:space="preserve"> +</w:t>
      </w:r>
    </w:p>
    <w:p>
      <w:pPr>
        <w:pStyle w:val="style179"/>
        <w:numPr>
          <w:ilvl w:val="0"/>
          <w:numId w:val="9"/>
        </w:numPr>
        <w:spacing w:after="0" w:lineRule="auto" w:line="360"/>
        <w:jc w:val="both"/>
        <w:outlineLvl w:val="0"/>
        <w:rPr>
          <w:rFonts w:ascii="Arial" w:cs="Arial" w:eastAsia="Times New Roman" w:hAnsi="Arial"/>
          <w:b/>
          <w:sz w:val="24"/>
          <w:szCs w:val="24"/>
          <w:lang w:eastAsia="es-ES"/>
        </w:rPr>
      </w:pPr>
      <w:r>
        <w:rPr>
          <w:rFonts w:ascii="Arial" w:cs="Arial" w:eastAsia="Times New Roman" w:hAnsi="Arial"/>
          <w:sz w:val="24"/>
          <w:szCs w:val="24"/>
          <w:lang w:eastAsia="es-ES"/>
        </w:rPr>
        <w:t>Dr. Ariel Arnoldo Fonseca Aguilera</w:t>
      </w:r>
      <w:r>
        <w:rPr>
          <w:rFonts w:ascii="Arial" w:cs="Arial" w:eastAsia="Times New Roman" w:hAnsi="Arial"/>
          <w:sz w:val="24"/>
          <w:szCs w:val="24"/>
          <w:lang w:eastAsia="es-ES"/>
        </w:rPr>
        <w:t xml:space="preserve"> ++</w:t>
      </w:r>
    </w:p>
    <w:p>
      <w:pPr>
        <w:pStyle w:val="style0"/>
        <w:spacing w:after="0" w:lineRule="auto" w:line="360"/>
        <w:jc w:val="both"/>
        <w:rPr>
          <w:rFonts w:ascii="Arial" w:cs="Arial" w:eastAsia="Times New Roman" w:hAnsi="Arial"/>
          <w:b/>
          <w:bCs/>
          <w:sz w:val="24"/>
          <w:szCs w:val="24"/>
          <w:lang w:eastAsia="es-MX"/>
        </w:rPr>
      </w:pPr>
    </w:p>
    <w:p>
      <w:pPr>
        <w:pStyle w:val="style0"/>
        <w:spacing w:after="0" w:lineRule="auto" w:line="360"/>
        <w:outlineLvl w:val="0"/>
        <w:rPr>
          <w:rFonts w:ascii="Arial" w:cs="Arial" w:eastAsia="Times New Roman" w:hAnsi="Arial"/>
          <w:bCs/>
          <w:sz w:val="24"/>
          <w:szCs w:val="24"/>
          <w:lang w:eastAsia="es-MX"/>
        </w:rPr>
      </w:pPr>
      <w:r>
        <w:rPr>
          <w:rFonts w:ascii="Arial" w:cs="Arial" w:eastAsia="Times New Roman" w:hAnsi="Arial"/>
          <w:bCs/>
          <w:sz w:val="24"/>
          <w:szCs w:val="24"/>
          <w:lang w:eastAsia="es-MX"/>
        </w:rPr>
        <w:t>* Estudiante de 5to año de la carrera de Medicina. Alumno Ayudante IV de Medicina Interna</w:t>
      </w:r>
    </w:p>
    <w:p>
      <w:pPr>
        <w:pStyle w:val="style0"/>
        <w:spacing w:after="0" w:lineRule="auto" w:line="360"/>
        <w:outlineLvl w:val="0"/>
        <w:rPr>
          <w:rFonts w:ascii="Arial" w:cs="Arial" w:eastAsia="Times New Roman" w:hAnsi="Arial"/>
          <w:bCs/>
          <w:sz w:val="24"/>
          <w:szCs w:val="24"/>
          <w:lang w:eastAsia="es-MX"/>
        </w:rPr>
      </w:pPr>
      <w:r>
        <w:rPr>
          <w:rFonts w:ascii="Arial" w:cs="Arial" w:eastAsia="Times New Roman" w:hAnsi="Arial"/>
          <w:bCs/>
          <w:sz w:val="24"/>
          <w:szCs w:val="24"/>
          <w:lang w:eastAsia="es-MX"/>
        </w:rPr>
        <w:t>** Estudiante de 5to año de la carrera de Medicina.</w:t>
      </w:r>
    </w:p>
    <w:p>
      <w:pPr>
        <w:pStyle w:val="style0"/>
        <w:spacing w:after="0" w:lineRule="auto" w:line="360"/>
        <w:outlineLvl w:val="0"/>
        <w:rPr>
          <w:rFonts w:ascii="Arial" w:cs="Arial" w:eastAsia="Times New Roman" w:hAnsi="Arial"/>
          <w:bCs/>
          <w:sz w:val="24"/>
          <w:szCs w:val="24"/>
          <w:lang w:eastAsia="es-MX"/>
        </w:rPr>
      </w:pPr>
      <w:r>
        <w:rPr>
          <w:rFonts w:ascii="Arial" w:cs="Arial" w:eastAsia="Times New Roman" w:hAnsi="Arial"/>
          <w:sz w:val="24"/>
          <w:szCs w:val="24"/>
          <w:lang w:eastAsia="es-MX"/>
        </w:rPr>
        <w:t xml:space="preserve">*** </w:t>
      </w:r>
      <w:r>
        <w:rPr>
          <w:rFonts w:ascii="Arial" w:cs="Arial" w:eastAsia="Times New Roman" w:hAnsi="Arial"/>
          <w:sz w:val="24"/>
          <w:szCs w:val="24"/>
          <w:lang w:eastAsia="es-MX"/>
        </w:rPr>
        <w:t>Estudiante</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de</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5</w:t>
      </w:r>
      <w:r>
        <w:rPr>
          <w:rFonts w:ascii="Arial" w:cs="Arial" w:eastAsia="Times New Roman" w:hAnsi="Arial"/>
          <w:sz w:val="24"/>
          <w:szCs w:val="24"/>
          <w:lang w:eastAsia="es-MX"/>
        </w:rPr>
        <w:t>to</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año</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de</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la</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carrera</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de</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Medicina.</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Alumno</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Ayudante</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I</w:t>
      </w:r>
      <w:r>
        <w:rPr>
          <w:rFonts w:ascii="Arial" w:cs="Arial" w:eastAsia="Times New Roman" w:hAnsi="Arial"/>
          <w:sz w:val="24"/>
          <w:szCs w:val="24"/>
          <w:lang w:eastAsia="es-MX"/>
        </w:rPr>
        <w:t>V</w:t>
      </w:r>
      <w:r>
        <w:rPr>
          <w:rFonts w:ascii="Arial" w:cs="Arial" w:eastAsia="Times New Roman" w:hAnsi="Arial"/>
          <w:sz w:val="24"/>
          <w:szCs w:val="24"/>
          <w:lang w:eastAsia="es-MX"/>
        </w:rPr>
        <w:t xml:space="preserve"> </w:t>
      </w:r>
      <w:r>
        <w:rPr>
          <w:rFonts w:ascii="Arial" w:cs="Arial" w:eastAsia="Times New Roman" w:hAnsi="Arial"/>
          <w:sz w:val="24"/>
          <w:szCs w:val="24"/>
          <w:lang w:eastAsia="es-MX"/>
        </w:rPr>
        <w:t>de</w:t>
      </w:r>
      <w:r>
        <w:rPr>
          <w:rFonts w:ascii="Arial" w:cs="Arial" w:eastAsia="Times New Roman" w:hAnsi="Arial"/>
          <w:sz w:val="24"/>
          <w:szCs w:val="24"/>
          <w:lang w:eastAsia="es-MX"/>
        </w:rPr>
        <w:t xml:space="preserve"> Otorrinolaringología</w:t>
      </w:r>
    </w:p>
    <w:p>
      <w:pPr>
        <w:pStyle w:val="style0"/>
        <w:spacing w:after="0" w:lineRule="auto" w:line="360"/>
        <w:outlineLvl w:val="0"/>
        <w:rPr>
          <w:rFonts w:ascii="Arial" w:cs="Arial" w:eastAsia="Times New Roman" w:hAnsi="Arial"/>
          <w:bCs/>
          <w:sz w:val="24"/>
          <w:szCs w:val="24"/>
          <w:lang w:eastAsia="es-MX"/>
        </w:rPr>
      </w:pPr>
      <w:r>
        <w:rPr>
          <w:rFonts w:ascii="Arial" w:cs="Arial" w:eastAsia="Times New Roman" w:hAnsi="Arial"/>
          <w:bCs/>
          <w:sz w:val="24"/>
          <w:szCs w:val="24"/>
          <w:lang w:eastAsia="es-MX"/>
        </w:rPr>
        <w:t xml:space="preserve">+ </w:t>
      </w:r>
      <w:r>
        <w:rPr>
          <w:rFonts w:ascii="Arial" w:cs="Arial" w:eastAsia="Times New Roman" w:hAnsi="Arial"/>
          <w:sz w:val="24"/>
          <w:szCs w:val="24"/>
          <w:lang w:eastAsia="es-ES"/>
        </w:rPr>
        <w:t>Especialista en I Grado en Medicina Interna.</w:t>
      </w:r>
    </w:p>
    <w:p>
      <w:pPr>
        <w:pStyle w:val="style0"/>
        <w:spacing w:after="0" w:lineRule="auto" w:line="360"/>
        <w:outlineLvl w:val="0"/>
        <w:rPr>
          <w:rFonts w:ascii="Arial" w:cs="Arial" w:eastAsia="Times New Roman" w:hAnsi="Arial"/>
          <w:sz w:val="24"/>
          <w:szCs w:val="24"/>
          <w:lang w:eastAsia="es-ES"/>
        </w:rPr>
      </w:pPr>
      <w:r>
        <w:rPr>
          <w:rFonts w:ascii="Arial" w:cs="Arial" w:eastAsia="Times New Roman" w:hAnsi="Arial"/>
          <w:bCs/>
          <w:sz w:val="24"/>
          <w:szCs w:val="24"/>
          <w:lang w:eastAsia="es-MX"/>
        </w:rPr>
        <w:t>++</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Especialista en I Grado en Medicina Interna.</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Profesor Asistente</w:t>
      </w:r>
    </w:p>
    <w:p>
      <w:pPr>
        <w:pStyle w:val="style0"/>
        <w:spacing w:after="0" w:lineRule="auto" w:line="360"/>
        <w:rPr>
          <w:rFonts w:ascii="Arial" w:cs="Arial" w:eastAsia="Times New Roman" w:hAnsi="Arial"/>
          <w:b/>
          <w:bCs/>
          <w:sz w:val="24"/>
          <w:szCs w:val="24"/>
          <w:lang w:eastAsia="es-MX"/>
        </w:rPr>
      </w:pPr>
    </w:p>
    <w:p>
      <w:pPr>
        <w:pStyle w:val="style0"/>
        <w:spacing w:after="0" w:lineRule="auto" w:line="360"/>
        <w:jc w:val="center"/>
        <w:rPr>
          <w:rFonts w:ascii="Arial" w:cs="Arial" w:eastAsia="Times New Roman" w:hAnsi="Arial"/>
          <w:b/>
          <w:bCs/>
          <w:sz w:val="24"/>
          <w:szCs w:val="24"/>
          <w:lang w:eastAsia="es-MX"/>
        </w:rPr>
      </w:pPr>
      <w:r>
        <w:rPr>
          <w:rFonts w:ascii="Arial" w:cs="Arial" w:eastAsia="Times New Roman" w:hAnsi="Arial"/>
          <w:b/>
          <w:bCs/>
          <w:sz w:val="24"/>
          <w:szCs w:val="24"/>
          <w:lang w:eastAsia="es-MX"/>
        </w:rPr>
        <w:t>B</w:t>
      </w:r>
      <w:r>
        <w:rPr>
          <w:rFonts w:ascii="Arial" w:cs="Arial" w:eastAsia="Times New Roman" w:hAnsi="Arial"/>
          <w:b/>
          <w:bCs/>
          <w:sz w:val="24"/>
          <w:szCs w:val="24"/>
          <w:lang w:eastAsia="es-MX"/>
        </w:rPr>
        <w:t>ayamo, M.N</w:t>
      </w:r>
      <w:r>
        <w:rPr>
          <w:rFonts w:ascii="Arial" w:cs="Arial" w:eastAsia="Times New Roman" w:hAnsi="Arial"/>
          <w:b/>
          <w:bCs/>
          <w:sz w:val="24"/>
          <w:szCs w:val="24"/>
          <w:lang w:eastAsia="es-MX"/>
        </w:rPr>
        <w:t xml:space="preserve"> 2023</w:t>
      </w:r>
    </w:p>
    <w:p>
      <w:pPr>
        <w:pStyle w:val="style0"/>
        <w:spacing w:after="200" w:lineRule="auto" w:line="276"/>
        <w:jc w:val="center"/>
        <w:rPr>
          <w:rFonts w:ascii="Arial" w:cs="Arial" w:hAnsi="Arial"/>
          <w:b/>
          <w:sz w:val="24"/>
          <w:szCs w:val="24"/>
        </w:rPr>
      </w:pPr>
      <w:r>
        <w:rPr>
          <w:rFonts w:ascii="Arial" w:cs="Arial" w:hAnsi="Arial"/>
          <w:b/>
          <w:sz w:val="24"/>
          <w:szCs w:val="24"/>
        </w:rPr>
        <w:t>“Año 65 de la Revolución”</w:t>
      </w:r>
    </w:p>
    <w:p>
      <w:pPr>
        <w:pStyle w:val="style0"/>
        <w:spacing w:after="200" w:lineRule="auto" w:line="276"/>
        <w:rPr>
          <w:rFonts w:ascii="Arial" w:cs="Arial" w:hAnsi="Arial"/>
          <w:b/>
          <w:sz w:val="24"/>
          <w:szCs w:val="24"/>
        </w:rPr>
      </w:pPr>
    </w:p>
    <w:p>
      <w:pPr>
        <w:pStyle w:val="style0"/>
        <w:spacing w:after="200" w:lineRule="auto" w:line="276"/>
        <w:rPr>
          <w:rFonts w:ascii="Arial" w:cs="Arial" w:hAnsi="Arial"/>
          <w:b/>
          <w:sz w:val="24"/>
          <w:szCs w:val="24"/>
        </w:rPr>
      </w:pPr>
    </w:p>
    <w:p>
      <w:pPr>
        <w:pStyle w:val="style0"/>
        <w:spacing w:after="200" w:lineRule="auto" w:line="276"/>
        <w:rPr>
          <w:rFonts w:ascii="Monotype Corsiva" w:cs="Monotype Corsiva,Italic" w:hAnsi="Monotype Corsiva"/>
          <w:b/>
          <w:i/>
          <w:iCs/>
          <w:sz w:val="96"/>
          <w:szCs w:val="96"/>
          <w:lang w:eastAsia="es-ES"/>
        </w:rPr>
      </w:pPr>
      <w:r>
        <w:rPr>
          <w:rFonts w:ascii="Monotype Corsiva" w:cs="Monotype Corsiva,Italic" w:hAnsi="Monotype Corsiva"/>
          <w:b/>
          <w:i/>
          <w:iCs/>
          <w:sz w:val="96"/>
          <w:szCs w:val="96"/>
          <w:lang w:eastAsia="es-ES"/>
        </w:rPr>
        <w:t>PENSAMIENTO</w:t>
      </w:r>
    </w:p>
    <w:p>
      <w:pPr>
        <w:pStyle w:val="style0"/>
        <w:autoSpaceDE w:val="false"/>
        <w:autoSpaceDN w:val="false"/>
        <w:adjustRightInd w:val="false"/>
        <w:spacing w:after="0" w:lineRule="auto" w:line="240"/>
        <w:rPr>
          <w:rFonts w:ascii="Monotype Corsiva" w:cs="Monotype Corsiva,Italic" w:hAnsi="Monotype Corsiva"/>
          <w:b/>
          <w:i/>
          <w:iCs/>
          <w:sz w:val="40"/>
          <w:szCs w:val="40"/>
          <w:lang w:eastAsia="es-ES"/>
        </w:rPr>
      </w:pPr>
    </w:p>
    <w:p>
      <w:pPr>
        <w:pStyle w:val="style0"/>
        <w:autoSpaceDE w:val="false"/>
        <w:autoSpaceDN w:val="false"/>
        <w:adjustRightInd w:val="false"/>
        <w:spacing w:after="0" w:lineRule="auto" w:line="240"/>
        <w:rPr>
          <w:rFonts w:ascii="Monotype Corsiva" w:cs="Monotype Corsiva,Italic" w:hAnsi="Monotype Corsiva"/>
          <w:b/>
          <w:i/>
          <w:iCs/>
          <w:sz w:val="40"/>
          <w:szCs w:val="40"/>
          <w:lang w:eastAsia="es-ES"/>
        </w:rPr>
      </w:pPr>
    </w:p>
    <w:p>
      <w:pPr>
        <w:pStyle w:val="style0"/>
        <w:autoSpaceDE w:val="false"/>
        <w:autoSpaceDN w:val="false"/>
        <w:adjustRightInd w:val="false"/>
        <w:spacing w:after="0" w:lineRule="auto" w:line="240"/>
        <w:rPr>
          <w:rFonts w:ascii="Monotype Corsiva" w:cs="Monotype Corsiva,Italic" w:hAnsi="Monotype Corsiva"/>
          <w:b/>
          <w:i/>
          <w:iCs/>
          <w:sz w:val="96"/>
          <w:szCs w:val="96"/>
          <w:lang w:eastAsia="es-ES"/>
        </w:rPr>
      </w:pPr>
      <w:r>
        <w:rPr>
          <w:rFonts w:ascii="Monotype Corsiva" w:cs="Monotype Corsiva,Italic" w:hAnsi="Monotype Corsiva"/>
          <w:b/>
          <w:i/>
          <w:iCs/>
          <w:sz w:val="40"/>
          <w:szCs w:val="40"/>
          <w:lang w:eastAsia="es-ES"/>
        </w:rPr>
        <w:t xml:space="preserve"> </w:t>
      </w:r>
      <w:r>
        <w:rPr>
          <w:rFonts w:ascii="Monotype Corsiva" w:cs="Monotype Corsiva,Italic" w:hAnsi="Monotype Corsiva"/>
          <w:b/>
          <w:i/>
          <w:iCs/>
          <w:sz w:val="40"/>
          <w:szCs w:val="40"/>
          <w:lang w:eastAsia="es-ES"/>
        </w:rPr>
        <w:t>“</w:t>
      </w:r>
      <w:r>
        <w:rPr>
          <w:rFonts w:ascii="Monotype Corsiva" w:cs="Monotype Corsiva,Italic" w:hAnsi="Monotype Corsiva"/>
          <w:b/>
          <w:i/>
          <w:iCs/>
          <w:sz w:val="40"/>
          <w:szCs w:val="40"/>
          <w:lang w:eastAsia="es-ES"/>
        </w:rPr>
        <w:t xml:space="preserve">El buen médico trata la enfermedad; el gran médico trata al paciente que tiene la </w:t>
      </w:r>
      <w:r>
        <w:rPr>
          <w:rFonts w:ascii="Monotype Corsiva" w:cs="Monotype Corsiva,Italic" w:hAnsi="Monotype Corsiva"/>
          <w:b/>
          <w:i/>
          <w:iCs/>
          <w:sz w:val="40"/>
          <w:szCs w:val="40"/>
          <w:lang w:eastAsia="es-ES"/>
        </w:rPr>
        <w:t>enfermedad”</w:t>
      </w:r>
      <w:r>
        <w:rPr>
          <w:rFonts w:ascii="Monotype Corsiva" w:cs="Monotype Corsiva,Italic" w:hAnsi="Monotype Corsiva"/>
          <w:b/>
          <w:i/>
          <w:iCs/>
          <w:sz w:val="40"/>
          <w:szCs w:val="40"/>
          <w:lang w:eastAsia="es-ES"/>
        </w:rPr>
        <w:t>.</w:t>
      </w:r>
    </w:p>
    <w:p>
      <w:pPr>
        <w:pStyle w:val="style0"/>
        <w:autoSpaceDE w:val="false"/>
        <w:autoSpaceDN w:val="false"/>
        <w:adjustRightInd w:val="false"/>
        <w:spacing w:after="0" w:lineRule="auto" w:line="360"/>
        <w:rPr>
          <w:rFonts w:ascii="Monotype Corsiva" w:cs="Monotype Corsiva,Italic" w:hAnsi="Monotype Corsiva"/>
          <w:b/>
          <w:i/>
          <w:iCs/>
          <w:sz w:val="40"/>
          <w:szCs w:val="40"/>
          <w:lang w:eastAsia="es-ES"/>
        </w:rPr>
      </w:pPr>
    </w:p>
    <w:p>
      <w:pPr>
        <w:pStyle w:val="style0"/>
        <w:autoSpaceDE w:val="false"/>
        <w:autoSpaceDN w:val="false"/>
        <w:adjustRightInd w:val="false"/>
        <w:spacing w:after="0" w:lineRule="auto" w:line="360"/>
        <w:rPr>
          <w:rFonts w:ascii="Monotype Corsiva" w:cs="Monotype Corsiva,Italic" w:hAnsi="Monotype Corsiva"/>
          <w:b/>
          <w:i/>
          <w:iCs/>
          <w:sz w:val="40"/>
          <w:szCs w:val="40"/>
          <w:lang w:eastAsia="es-ES"/>
        </w:rPr>
      </w:pPr>
    </w:p>
    <w:p>
      <w:pPr>
        <w:pStyle w:val="style0"/>
        <w:autoSpaceDE w:val="false"/>
        <w:autoSpaceDN w:val="false"/>
        <w:adjustRightInd w:val="false"/>
        <w:spacing w:after="0" w:lineRule="auto" w:line="360"/>
        <w:rPr>
          <w:rFonts w:ascii="Monotype Corsiva" w:cs="Monotype Corsiva,Italic" w:hAnsi="Monotype Corsiva"/>
          <w:b/>
          <w:i/>
          <w:iCs/>
          <w:sz w:val="40"/>
          <w:szCs w:val="40"/>
          <w:lang w:eastAsia="es-ES"/>
        </w:rPr>
      </w:pPr>
      <w:r>
        <w:rPr>
          <w:rFonts w:ascii="Monotype Corsiva" w:cs="Monotype Corsiva,Italic" w:hAnsi="Monotype Corsiva"/>
          <w:b/>
          <w:i/>
          <w:iCs/>
          <w:sz w:val="40"/>
          <w:szCs w:val="40"/>
          <w:lang w:eastAsia="es-ES"/>
        </w:rPr>
        <w:t xml:space="preserve">                                                     William Osler</w:t>
      </w:r>
    </w:p>
    <w:p>
      <w:pPr>
        <w:pStyle w:val="style0"/>
        <w:autoSpaceDE w:val="false"/>
        <w:autoSpaceDN w:val="false"/>
        <w:adjustRightInd w:val="false"/>
        <w:spacing w:after="0" w:lineRule="auto" w:line="360"/>
        <w:jc w:val="center"/>
        <w:rPr>
          <w:rFonts w:ascii="Monotype Corsiva" w:cs="Monotype Corsiva,Italic" w:hAnsi="Monotype Corsiva"/>
          <w:b/>
          <w:iCs/>
          <w:sz w:val="52"/>
          <w:szCs w:val="52"/>
          <w:lang w:eastAsia="es-ES"/>
        </w:rPr>
      </w:pPr>
    </w:p>
    <w:p>
      <w:pPr>
        <w:pStyle w:val="style0"/>
        <w:autoSpaceDE w:val="false"/>
        <w:autoSpaceDN w:val="false"/>
        <w:adjustRightInd w:val="false"/>
        <w:spacing w:after="0" w:lineRule="auto" w:line="240"/>
        <w:rPr>
          <w:rFonts w:ascii="Monotype Corsiva" w:cs="TimesNewRoman" w:eastAsia="TimesNewRoman" w:hAnsi="Monotype Corsiva"/>
          <w:sz w:val="40"/>
          <w:szCs w:val="40"/>
          <w:lang w:eastAsia="es-ES"/>
        </w:rPr>
      </w:pPr>
      <w:r>
        <w:rPr>
          <w:rFonts w:ascii="Monotype Corsiva" w:cs="Monotype Corsiva,Italic" w:hAnsi="Monotype Corsiva"/>
          <w:b/>
          <w:iCs/>
          <w:sz w:val="52"/>
          <w:szCs w:val="52"/>
          <w:lang w:eastAsia="es-ES"/>
        </w:rPr>
        <w:br w:type="page"/>
      </w:r>
    </w:p>
    <w:p>
      <w:pPr>
        <w:pStyle w:val="style0"/>
        <w:spacing w:after="200" w:lineRule="auto" w:line="276"/>
        <w:rPr>
          <w:rFonts w:ascii="Arial" w:cs="Arial" w:hAnsi="Arial"/>
          <w:b/>
          <w:sz w:val="24"/>
          <w:szCs w:val="24"/>
        </w:rPr>
      </w:pPr>
      <w:r>
        <w:rPr>
          <w:rFonts w:ascii="Arial" w:cs="Arial" w:hAnsi="Arial"/>
          <w:b/>
          <w:sz w:val="24"/>
          <w:szCs w:val="24"/>
        </w:rPr>
        <w:t xml:space="preserve">RESUMEN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b/>
          <w:sz w:val="24"/>
          <w:szCs w:val="24"/>
        </w:rPr>
        <w:t>Introducción</w:t>
      </w:r>
      <w:r>
        <w:rPr>
          <w:rFonts w:ascii="Arial" w:cs="Arial" w:hAnsi="Arial"/>
          <w:b/>
          <w:sz w:val="24"/>
          <w:szCs w:val="24"/>
        </w:rPr>
        <w:t>.</w:t>
      </w:r>
      <w:r>
        <w:rPr>
          <w:rFonts w:ascii="Arial" w:cs="Arial" w:hAnsi="Arial"/>
          <w:sz w:val="24"/>
          <w:szCs w:val="24"/>
        </w:rPr>
        <w:t xml:space="preserve"> </w:t>
      </w:r>
      <w:r>
        <w:rPr>
          <w:rFonts w:ascii="Arial" w:cs="Arial" w:hAnsi="Arial"/>
          <w:sz w:val="24"/>
          <w:szCs w:val="24"/>
        </w:rPr>
        <w:t>L</w:t>
      </w:r>
      <w:r>
        <w:rPr>
          <w:rFonts w:ascii="Arial" w:cs="Arial" w:hAnsi="Arial"/>
          <w:sz w:val="24"/>
          <w:szCs w:val="24"/>
        </w:rPr>
        <w:t xml:space="preserve">a neumonía adquirida en la comunidad constituye un motivo frecuente de consulta médica y es causa de elevadas morbilidad y mortalidad en el </w:t>
      </w:r>
      <w:r>
        <w:rPr>
          <w:rFonts w:ascii="Arial" w:cs="Arial" w:hAnsi="Arial"/>
          <w:sz w:val="24"/>
          <w:szCs w:val="24"/>
        </w:rPr>
        <w:t>adulto.</w:t>
      </w:r>
      <w:r>
        <w:rPr>
          <w:rFonts w:ascii="Arial" w:cs="Arial" w:hAnsi="Arial"/>
          <w:sz w:val="24"/>
          <w:szCs w:val="24"/>
        </w:rPr>
        <w:t xml:space="preserve"> </w:t>
      </w:r>
      <w:r>
        <w:rPr>
          <w:rFonts w:ascii="Arial" w:cs="Arial" w:hAnsi="Arial"/>
          <w:sz w:val="24"/>
          <w:szCs w:val="24"/>
        </w:rPr>
        <w:t>Cuando se presenta en pacientes con enfermedad pulmonar obstructiva crónica el pronóstico es peor.</w:t>
      </w:r>
    </w:p>
    <w:p>
      <w:pPr>
        <w:pStyle w:val="style0"/>
        <w:spacing w:after="0" w:lineRule="auto" w:line="360"/>
        <w:jc w:val="both"/>
        <w:rPr>
          <w:rFonts w:ascii="Arial" w:cs="Arial" w:hAnsi="Arial"/>
          <w:b/>
          <w:sz w:val="24"/>
          <w:szCs w:val="24"/>
        </w:rPr>
      </w:pPr>
      <w:r>
        <w:rPr>
          <w:rFonts w:ascii="Arial" w:cs="Arial" w:hAnsi="Arial"/>
          <w:b/>
          <w:sz w:val="24"/>
          <w:szCs w:val="24"/>
        </w:rPr>
        <w:t>Objetivo</w:t>
      </w:r>
      <w:r>
        <w:rPr>
          <w:rFonts w:ascii="Arial" w:cs="Arial" w:hAnsi="Arial"/>
          <w:b/>
          <w:sz w:val="24"/>
          <w:szCs w:val="24"/>
        </w:rPr>
        <w:t>.</w:t>
      </w:r>
      <w:r>
        <w:rPr>
          <w:rFonts w:ascii="Arial" w:cs="Arial" w:hAnsi="Arial"/>
          <w:sz w:val="24"/>
          <w:szCs w:val="24"/>
        </w:rPr>
        <w:t xml:space="preserve"> </w:t>
      </w:r>
      <w:r>
        <w:rPr>
          <w:rFonts w:ascii="Arial" w:cs="Arial" w:hAnsi="Arial"/>
          <w:sz w:val="24"/>
          <w:szCs w:val="24"/>
        </w:rPr>
        <w:t>Crear un índice pronóstico de muerte por neumonía adquirida en la comunidad en los pacientes mayores de 18 años con enfermedad pulmonar obstructiva crónica</w:t>
      </w:r>
      <w:r>
        <w:rPr>
          <w:rFonts w:ascii="Arial" w:cs="Arial" w:hAnsi="Arial"/>
          <w:b/>
          <w:sz w:val="24"/>
          <w:szCs w:val="24"/>
        </w:rPr>
        <w:t xml:space="preserve">. </w:t>
      </w:r>
    </w:p>
    <w:p>
      <w:pPr>
        <w:pStyle w:val="style0"/>
        <w:spacing w:after="0" w:lineRule="auto" w:line="360"/>
        <w:jc w:val="both"/>
        <w:rPr>
          <w:rFonts w:ascii="Arial" w:cs="Arial" w:hAnsi="Arial"/>
          <w:sz w:val="24"/>
          <w:szCs w:val="24"/>
        </w:rPr>
      </w:pPr>
      <w:r>
        <w:rPr>
          <w:rFonts w:ascii="Arial" w:cs="Arial" w:hAnsi="Arial"/>
          <w:b/>
          <w:sz w:val="24"/>
          <w:szCs w:val="24"/>
        </w:rPr>
        <w:t>Métodos</w:t>
      </w:r>
      <w:r>
        <w:rPr>
          <w:rFonts w:ascii="Arial" w:cs="Arial" w:hAnsi="Arial"/>
          <w:b/>
          <w:sz w:val="24"/>
          <w:szCs w:val="24"/>
        </w:rPr>
        <w:t>.</w:t>
      </w:r>
      <w:r>
        <w:rPr>
          <w:rFonts w:ascii="Arial" w:cs="Arial" w:hAnsi="Arial"/>
          <w:sz w:val="24"/>
          <w:szCs w:val="24"/>
        </w:rPr>
        <w:t xml:space="preserve"> </w:t>
      </w:r>
      <w:r>
        <w:rPr>
          <w:rFonts w:ascii="Arial" w:cs="Arial" w:hAnsi="Arial"/>
          <w:sz w:val="24"/>
          <w:szCs w:val="24"/>
          <w:lang w:val="es-ES" w:eastAsia="es-ES"/>
        </w:rPr>
        <w:t xml:space="preserve">Se realizó el diseño de un índice pronóstico de muerte de la NAC, </w:t>
      </w:r>
      <w:r>
        <w:rPr>
          <w:rFonts w:ascii="Arial" w:cs="Arial" w:hAnsi="Arial"/>
          <w:sz w:val="24"/>
          <w:szCs w:val="24"/>
        </w:rPr>
        <w:t xml:space="preserve">en pacientes con enfermedad pulmonar obstructiva crónica, </w:t>
      </w:r>
      <w:r>
        <w:rPr>
          <w:rFonts w:ascii="Arial" w:cs="Arial" w:hAnsi="Arial"/>
          <w:sz w:val="24"/>
          <w:szCs w:val="24"/>
          <w:lang w:val="es-ES" w:eastAsia="es-ES"/>
        </w:rPr>
        <w:t xml:space="preserve">mediante un estudio de cohorte, donde se determinó el riesgo de morir en los pacientes que ingresaron </w:t>
      </w:r>
      <w:r>
        <w:rPr>
          <w:rFonts w:ascii="Arial" w:cs="Arial" w:hAnsi="Arial"/>
          <w:sz w:val="24"/>
          <w:szCs w:val="24"/>
        </w:rPr>
        <w:t>en el servicio de Medicina Interna del Hospital Provincial General “Carlos Manuel de Céspedes”, en el período comprendido desde el 1ro de septiembre de 2020 al 31 de diciembre de 2021</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b/>
          <w:sz w:val="24"/>
          <w:szCs w:val="24"/>
        </w:rPr>
        <w:t>Resultados</w:t>
      </w:r>
      <w:r>
        <w:rPr>
          <w:rFonts w:ascii="Arial" w:cs="Arial" w:hAnsi="Arial"/>
          <w:sz w:val="24"/>
          <w:szCs w:val="24"/>
        </w:rPr>
        <w:t xml:space="preserve">. </w:t>
      </w:r>
      <w:r>
        <w:rPr>
          <w:rFonts w:ascii="Arial" w:cs="Arial" w:hAnsi="Arial"/>
          <w:sz w:val="24"/>
          <w:szCs w:val="24"/>
        </w:rPr>
        <w:t xml:space="preserve">Los factores sobresalientes fueron en orden de importancia la neumonía multilobar </w:t>
      </w:r>
      <w:r>
        <w:rPr>
          <w:rFonts w:ascii="Arial" w:cs="Arial" w:eastAsia="TimesNewRoman" w:hAnsi="Arial"/>
          <w:sz w:val="24"/>
          <w:szCs w:val="24"/>
          <w:lang w:eastAsia="es-ES"/>
        </w:rPr>
        <w:t>(RR= 16,48; IC= 7,26 a 25,70; p= 0,000)</w:t>
      </w:r>
      <w:r>
        <w:rPr>
          <w:rFonts w:ascii="Arial" w:cs="Arial" w:hAnsi="Arial"/>
          <w:sz w:val="24"/>
          <w:szCs w:val="24"/>
        </w:rPr>
        <w:t xml:space="preserve">, </w:t>
      </w:r>
      <w:r>
        <w:rPr>
          <w:rFonts w:ascii="Arial" w:cs="Arial" w:hAnsi="Arial"/>
          <w:sz w:val="24"/>
          <w:szCs w:val="24"/>
        </w:rPr>
        <w:t xml:space="preserve">el choque </w:t>
      </w:r>
      <w:r>
        <w:rPr>
          <w:rFonts w:ascii="Arial" w:cs="Arial" w:eastAsia="TimesNewRoman" w:hAnsi="Arial"/>
          <w:sz w:val="24"/>
          <w:szCs w:val="24"/>
          <w:lang w:eastAsia="es-ES"/>
        </w:rPr>
        <w:t xml:space="preserve">(RR= 12,82; IC= 5,69 a 28,80; p= 0,000) </w:t>
      </w:r>
      <w:r>
        <w:rPr>
          <w:rFonts w:ascii="Arial" w:cs="Arial" w:hAnsi="Arial"/>
          <w:sz w:val="24"/>
          <w:szCs w:val="24"/>
        </w:rPr>
        <w:t xml:space="preserve">y </w:t>
      </w:r>
      <w:r>
        <w:rPr>
          <w:rFonts w:ascii="Arial" w:cs="Arial" w:hAnsi="Arial"/>
          <w:sz w:val="24"/>
          <w:szCs w:val="24"/>
        </w:rPr>
        <w:t xml:space="preserve">la enfermedad renal crónica </w:t>
      </w:r>
      <w:r>
        <w:rPr>
          <w:rFonts w:ascii="Arial" w:cs="Arial" w:eastAsia="TimesNewRoman" w:hAnsi="Arial"/>
          <w:sz w:val="24"/>
          <w:szCs w:val="24"/>
          <w:lang w:eastAsia="es-ES"/>
        </w:rPr>
        <w:t>(RR= 11,92; IC= 6,47 a 17,56; p= 0,000)</w:t>
      </w:r>
      <w:r>
        <w:rPr>
          <w:rFonts w:ascii="Arial" w:cs="Arial" w:eastAsia="TimesNewRoman" w:hAnsi="Arial"/>
          <w:sz w:val="24"/>
          <w:szCs w:val="24"/>
          <w:lang w:eastAsia="es-ES"/>
        </w:rPr>
        <w:t xml:space="preserve">. El área bajo la curva COR de </w:t>
      </w:r>
      <w:r>
        <w:rPr>
          <w:rFonts w:ascii="Arial" w:cs="Arial" w:hAnsi="Arial"/>
          <w:sz w:val="24"/>
          <w:szCs w:val="24"/>
        </w:rPr>
        <w:t>0,915 (intervalo de confianza: 0,878-0,953; p=0,000) y el valor de la p</w:t>
      </w:r>
      <w:r>
        <w:rPr>
          <w:rFonts w:ascii="Arial" w:cs="Arial" w:hAnsi="Arial"/>
          <w:bCs/>
          <w:sz w:val="24"/>
          <w:szCs w:val="24"/>
        </w:rPr>
        <w:t xml:space="preserve">rueba de Hosmer y Lemeshow (p= 0,807) indican que la capacidad discriminativa del índice y la calibración fueron adecuadas.   </w:t>
      </w:r>
    </w:p>
    <w:p>
      <w:pPr>
        <w:pStyle w:val="style0"/>
        <w:spacing w:after="0" w:lineRule="auto" w:line="360"/>
        <w:jc w:val="both"/>
        <w:rPr>
          <w:rFonts w:ascii="Arial" w:cs="Arial" w:hAnsi="Arial"/>
          <w:sz w:val="24"/>
          <w:szCs w:val="24"/>
        </w:rPr>
      </w:pPr>
      <w:r>
        <w:rPr>
          <w:rFonts w:ascii="Arial" w:cs="Arial" w:hAnsi="Arial"/>
          <w:b/>
          <w:sz w:val="24"/>
          <w:szCs w:val="24"/>
        </w:rPr>
        <w:t>Conclusión</w:t>
      </w:r>
      <w:r>
        <w:rPr>
          <w:rFonts w:ascii="Arial" w:cs="Arial" w:hAnsi="Arial"/>
          <w:sz w:val="24"/>
          <w:szCs w:val="24"/>
        </w:rPr>
        <w:t xml:space="preserve">. </w:t>
      </w:r>
      <w:r>
        <w:rPr>
          <w:rFonts w:ascii="Arial" w:cs="Arial" w:hAnsi="Arial"/>
          <w:sz w:val="24"/>
          <w:szCs w:val="24"/>
        </w:rPr>
        <w:t xml:space="preserve">Se obtiene un índice para pronosticar el riesgo de morir por neumonía comunitaria en pacientes con enfermedad pulmonar obstructiva crónica con adecuada capacidad discriminativa y calibración. </w:t>
      </w:r>
    </w:p>
    <w:p>
      <w:pPr>
        <w:pStyle w:val="style0"/>
        <w:spacing w:after="0" w:lineRule="auto" w:line="360"/>
        <w:jc w:val="both"/>
        <w:rPr>
          <w:rFonts w:ascii="Arial" w:cs="Arial" w:hAnsi="Arial"/>
          <w:sz w:val="24"/>
          <w:szCs w:val="24"/>
        </w:rPr>
      </w:pPr>
    </w:p>
    <w:p>
      <w:pPr>
        <w:pStyle w:val="style0"/>
        <w:spacing w:after="200" w:lineRule="auto" w:line="276"/>
        <w:rPr>
          <w:rFonts w:ascii="Arial" w:cs="Arial" w:hAnsi="Arial"/>
          <w:sz w:val="24"/>
          <w:szCs w:val="24"/>
        </w:rPr>
      </w:pPr>
      <w:r>
        <w:rPr>
          <w:rFonts w:ascii="Arial" w:cs="Arial" w:hAnsi="Arial"/>
          <w:sz w:val="24"/>
          <w:szCs w:val="24"/>
        </w:rPr>
        <w:br w:type="page"/>
      </w:r>
    </w:p>
    <w:p>
      <w:pPr>
        <w:pStyle w:val="style0"/>
        <w:spacing w:lineRule="auto" w:line="360"/>
        <w:jc w:val="both"/>
        <w:rPr>
          <w:rFonts w:ascii="Arial" w:cs="Arial" w:hAnsi="Arial"/>
          <w:b/>
          <w:sz w:val="24"/>
          <w:szCs w:val="24"/>
        </w:rPr>
      </w:pPr>
      <w:r>
        <w:rPr>
          <w:rFonts w:ascii="Arial" w:cs="Arial" w:hAnsi="Arial"/>
          <w:sz w:val="24"/>
          <w:szCs w:val="24"/>
        </w:rPr>
        <w:t>TABLA DE CONTENIDOS</w:t>
      </w:r>
    </w:p>
    <w:p>
      <w:pPr>
        <w:pStyle w:val="style0"/>
        <w:autoSpaceDE w:val="false"/>
        <w:autoSpaceDN w:val="false"/>
        <w:adjustRightInd w:val="false"/>
        <w:spacing w:after="0" w:lineRule="auto" w:line="360"/>
        <w:jc w:val="both"/>
        <w:rPr>
          <w:rFonts w:ascii="Arial" w:cs="Arial" w:hAnsi="Arial"/>
          <w:b/>
          <w:sz w:val="24"/>
          <w:szCs w:val="24"/>
        </w:rPr>
      </w:pPr>
      <w:r>
        <w:rPr>
          <w:rFonts w:ascii="Arial" w:cs="Arial" w:hAnsi="Arial"/>
          <w:b/>
          <w:sz w:val="24"/>
          <w:szCs w:val="24"/>
        </w:rPr>
        <w:t>Índice</w:t>
      </w:r>
    </w:p>
    <w:p>
      <w:pPr>
        <w:pStyle w:val="style0"/>
        <w:autoSpaceDE w:val="false"/>
        <w:autoSpaceDN w:val="false"/>
        <w:adjustRightInd w:val="false"/>
        <w:spacing w:after="0" w:lineRule="auto" w:line="360"/>
        <w:jc w:val="both"/>
        <w:rPr>
          <w:rFonts w:ascii="Arial" w:cs="Arial" w:hAnsi="Arial"/>
          <w:sz w:val="24"/>
          <w:szCs w:val="24"/>
        </w:rPr>
      </w:pPr>
    </w:p>
    <w:tbl>
      <w:tblPr>
        <w:tblW w:w="8897" w:type="dxa"/>
        <w:tblLook w:val="04A0" w:firstRow="1" w:lastRow="0" w:firstColumn="1" w:lastColumn="0" w:noHBand="0" w:noVBand="1"/>
      </w:tblPr>
      <w:tblGrid>
        <w:gridCol w:w="8330"/>
        <w:gridCol w:w="567"/>
      </w:tblGrid>
      <w:tr>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Introducción…</w:t>
            </w:r>
            <w:r>
              <w:rPr>
                <w:rFonts w:ascii="Arial" w:cs="Arial" w:eastAsia="Times New Roman" w:hAnsi="Arial"/>
                <w:b/>
                <w:sz w:val="24"/>
                <w:szCs w:val="24"/>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1</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Objetivo…</w:t>
            </w:r>
            <w:r>
              <w:rPr>
                <w:rFonts w:ascii="Arial" w:cs="Arial" w:eastAsia="Times New Roman" w:hAnsi="Arial"/>
                <w:b/>
                <w:sz w:val="24"/>
                <w:szCs w:val="24"/>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6</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 xml:space="preserve">Diseño </w:t>
            </w:r>
            <w:r>
              <w:rPr>
                <w:rFonts w:ascii="Arial" w:cs="Arial" w:eastAsia="Times New Roman" w:hAnsi="Arial"/>
                <w:b/>
                <w:sz w:val="24"/>
                <w:szCs w:val="24"/>
              </w:rPr>
              <w:t>metodológico…</w:t>
            </w:r>
            <w:r>
              <w:rPr>
                <w:rFonts w:ascii="Arial" w:cs="Arial" w:eastAsia="Times New Roman" w:hAnsi="Arial"/>
                <w:b/>
                <w:sz w:val="24"/>
                <w:szCs w:val="24"/>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7</w:t>
            </w:r>
          </w:p>
        </w:tc>
      </w:tr>
      <w:tr>
        <w:tblPrEx/>
        <w:trPr/>
        <w:tc>
          <w:tcPr>
            <w:tcW w:w="8330" w:type="dxa"/>
            <w:tcBorders/>
            <w:shd w:val="clear" w:color="auto" w:fill="auto"/>
            <w:tcFitText w:val="false"/>
          </w:tcPr>
          <w:p>
            <w:pPr>
              <w:pStyle w:val="style4097"/>
              <w:spacing w:lineRule="auto" w:line="360"/>
              <w:jc w:val="both"/>
              <w:rPr>
                <w:rFonts w:ascii="Arial" w:cs="Arial" w:eastAsia="Times New Roman" w:hAnsi="Arial"/>
              </w:rPr>
            </w:pPr>
            <w:r>
              <w:rPr>
                <w:rFonts w:ascii="Arial" w:cs="Arial" w:eastAsia="Times New Roman" w:hAnsi="Arial"/>
                <w:bCs/>
              </w:rPr>
              <w:t xml:space="preserve">Criterios de inclusión y exclusión para los casos y los </w:t>
            </w:r>
            <w:r>
              <w:rPr>
                <w:rFonts w:ascii="Arial" w:cs="Arial" w:eastAsia="Times New Roman" w:hAnsi="Arial"/>
                <w:bCs/>
              </w:rPr>
              <w:t>testigos…</w:t>
            </w:r>
            <w:r>
              <w:rPr>
                <w:rFonts w:ascii="Arial" w:cs="Arial" w:eastAsia="Times New Roman" w:hAnsi="Arial"/>
                <w:bCs/>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7</w:t>
            </w:r>
          </w:p>
        </w:tc>
      </w:tr>
      <w:tr>
        <w:tblPrEx/>
        <w:trPr/>
        <w:tc>
          <w:tcPr>
            <w:tcW w:w="8330" w:type="dxa"/>
            <w:tcBorders/>
            <w:shd w:val="clear" w:color="auto" w:fill="auto"/>
            <w:tcFitText w:val="false"/>
          </w:tcPr>
          <w:p>
            <w:pPr>
              <w:pStyle w:val="style4097"/>
              <w:spacing w:lineRule="auto" w:line="360"/>
              <w:jc w:val="both"/>
              <w:rPr>
                <w:rFonts w:ascii="Arial" w:cs="Arial" w:eastAsia="Times New Roman" w:hAnsi="Arial"/>
              </w:rPr>
            </w:pPr>
            <w:r>
              <w:rPr>
                <w:rFonts w:ascii="Arial" w:cs="Arial" w:eastAsia="Times New Roman" w:hAnsi="Arial"/>
                <w:bCs/>
              </w:rPr>
              <w:t xml:space="preserve">Delimitación y operacionalización de las </w:t>
            </w:r>
            <w:r>
              <w:rPr>
                <w:rFonts w:ascii="Arial" w:cs="Arial" w:eastAsia="Times New Roman" w:hAnsi="Arial"/>
                <w:bCs/>
              </w:rPr>
              <w:t>variables…</w:t>
            </w:r>
            <w:r>
              <w:rPr>
                <w:rFonts w:ascii="Arial" w:cs="Arial" w:eastAsia="Times New Roman" w:hAnsi="Arial"/>
                <w:bCs/>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7</w:t>
            </w:r>
          </w:p>
        </w:tc>
      </w:tr>
      <w:tr>
        <w:tblPrEx/>
        <w:trPr/>
        <w:tc>
          <w:tcPr>
            <w:tcW w:w="8330" w:type="dxa"/>
            <w:tcBorders/>
            <w:shd w:val="clear" w:color="auto" w:fill="auto"/>
            <w:tcFitText w:val="false"/>
          </w:tcPr>
          <w:p>
            <w:pPr>
              <w:pStyle w:val="style4097"/>
              <w:spacing w:lineRule="auto" w:line="360"/>
              <w:jc w:val="both"/>
              <w:rPr>
                <w:rFonts w:ascii="Arial" w:cs="Arial" w:eastAsia="Times New Roman" w:hAnsi="Arial"/>
              </w:rPr>
            </w:pPr>
            <w:r>
              <w:rPr>
                <w:rFonts w:ascii="Arial" w:cs="Arial" w:eastAsia="Times New Roman" w:hAnsi="Arial"/>
                <w:bCs/>
              </w:rPr>
              <w:t xml:space="preserve">Análisis </w:t>
            </w:r>
            <w:r>
              <w:rPr>
                <w:rFonts w:ascii="Arial" w:cs="Arial" w:eastAsia="Times New Roman" w:hAnsi="Arial"/>
                <w:bCs/>
              </w:rPr>
              <w:t>estadístico…</w:t>
            </w:r>
            <w:r>
              <w:rPr>
                <w:rFonts w:ascii="Arial" w:cs="Arial" w:eastAsia="Times New Roman" w:hAnsi="Arial"/>
                <w:bCs/>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8</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Resultados  ………………………………………………………………………...</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1</w:t>
            </w:r>
            <w:r>
              <w:rPr>
                <w:rFonts w:ascii="Arial" w:cs="Arial" w:eastAsia="Times New Roman" w:hAnsi="Arial"/>
                <w:sz w:val="24"/>
                <w:szCs w:val="24"/>
              </w:rPr>
              <w:t>1</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Discusión de los resultados ……………………………………………………</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12</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Conclusiones…</w:t>
            </w:r>
            <w:r>
              <w:rPr>
                <w:rFonts w:ascii="Arial" w:cs="Arial" w:eastAsia="Times New Roman" w:hAnsi="Arial"/>
                <w:b/>
                <w:sz w:val="24"/>
                <w:szCs w:val="24"/>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22</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Recomendaciones…</w:t>
            </w:r>
            <w:r>
              <w:rPr>
                <w:rFonts w:ascii="Arial" w:cs="Arial" w:eastAsia="Times New Roman" w:hAnsi="Arial"/>
                <w:b/>
                <w:sz w:val="24"/>
                <w:szCs w:val="24"/>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22</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b/>
                <w:sz w:val="24"/>
                <w:szCs w:val="24"/>
              </w:rPr>
            </w:pPr>
            <w:r>
              <w:rPr>
                <w:rFonts w:ascii="Arial" w:cs="Arial" w:eastAsia="Times New Roman" w:hAnsi="Arial"/>
                <w:b/>
                <w:sz w:val="24"/>
                <w:szCs w:val="24"/>
              </w:rPr>
              <w:t xml:space="preserve">Referencias </w:t>
            </w:r>
            <w:r>
              <w:rPr>
                <w:rFonts w:ascii="Arial" w:cs="Arial" w:eastAsia="Times New Roman" w:hAnsi="Arial"/>
                <w:b/>
                <w:sz w:val="24"/>
                <w:szCs w:val="24"/>
              </w:rPr>
              <w:t>bibliográficas…</w:t>
            </w:r>
            <w:r>
              <w:rPr>
                <w:rFonts w:ascii="Arial" w:cs="Arial" w:eastAsia="Times New Roman" w:hAnsi="Arial"/>
                <w:b/>
                <w:sz w:val="24"/>
                <w:szCs w:val="24"/>
              </w:rPr>
              <w:t>……………………………………………………</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23</w:t>
            </w:r>
          </w:p>
        </w:tc>
      </w:tr>
      <w:tr>
        <w:tblPrEx/>
        <w:trPr/>
        <w:tc>
          <w:tcPr>
            <w:tcW w:w="8330"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r>
              <w:rPr>
                <w:rFonts w:ascii="Arial" w:cs="Arial" w:eastAsia="Times New Roman" w:hAnsi="Arial"/>
                <w:sz w:val="24"/>
                <w:szCs w:val="24"/>
              </w:rPr>
              <w:t>Tablas y Anexos</w:t>
            </w:r>
          </w:p>
        </w:tc>
        <w:tc>
          <w:tcPr>
            <w:tcW w:w="567" w:type="dxa"/>
            <w:tcBorders/>
            <w:shd w:val="clear" w:color="auto" w:fill="auto"/>
            <w:tcFitText w:val="false"/>
          </w:tcPr>
          <w:p>
            <w:pPr>
              <w:pStyle w:val="style0"/>
              <w:autoSpaceDE w:val="false"/>
              <w:autoSpaceDN w:val="false"/>
              <w:adjustRightInd w:val="false"/>
              <w:spacing w:after="0" w:lineRule="auto" w:line="360"/>
              <w:jc w:val="both"/>
              <w:rPr>
                <w:rFonts w:ascii="Arial" w:cs="Arial" w:eastAsia="Times New Roman" w:hAnsi="Arial"/>
                <w:sz w:val="24"/>
                <w:szCs w:val="24"/>
              </w:rPr>
            </w:pPr>
          </w:p>
        </w:tc>
      </w:tr>
    </w:tbl>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sectPr>
          <w:footerReference w:type="default" r:id="rId3"/>
          <w:footerReference w:type="first" r:id="rId4"/>
          <w:pgSz w:w="11906" w:h="16838" w:orient="portrait"/>
          <w:pgMar w:top="1417" w:right="1701" w:bottom="1417" w:left="1701" w:header="708" w:footer="708" w:gutter="0"/>
          <w:pgNumType w:start="0" w:chapStyle="1"/>
          <w:cols w:space="708"/>
          <w:titlePg/>
          <w:docGrid w:linePitch="360"/>
        </w:sectPr>
      </w:pPr>
    </w:p>
    <w:p>
      <w:pPr>
        <w:pStyle w:val="style0"/>
        <w:spacing w:after="200" w:lineRule="auto" w:line="276"/>
        <w:jc w:val="center"/>
        <w:rPr>
          <w:rFonts w:ascii="Arial" w:cs="Arial" w:hAnsi="Arial"/>
          <w:b/>
          <w:sz w:val="24"/>
          <w:szCs w:val="24"/>
        </w:rPr>
      </w:pPr>
      <w:r>
        <w:rPr>
          <w:rFonts w:ascii="Arial" w:cs="Arial" w:hAnsi="Arial"/>
          <w:b/>
          <w:sz w:val="24"/>
          <w:szCs w:val="24"/>
        </w:rPr>
        <w:t>INTRODUCCIÓN</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La neumonía adquirida en la comunidad (NAC) es una de las enfermedades infecciosas más frecuentes y su pronóstico varía desde la resolución rápida hasta complicaciones médicas graves y la muerte. Se define como una enfermedad respiratoria aguda, de origen infeccioso, que compromete el parénquima pulmonar, ocasionada por la invasión de microorganismos patógenos (virus, bacterias, hongos y parásitos) que fueron adquiridos fuera del ambiente hospitalario</w:t>
      </w:r>
      <w:r>
        <w:rPr>
          <w:rFonts w:ascii="Arial" w:cs="Arial" w:hAnsi="Arial"/>
          <w:sz w:val="24"/>
          <w:szCs w:val="24"/>
          <w:vertAlign w:val="superscript"/>
        </w:rPr>
        <w:t>1</w:t>
      </w:r>
      <w:r>
        <w:rPr>
          <w:rFonts w:ascii="Arial" w:cs="Arial" w:hAnsi="Arial"/>
          <w:sz w:val="24"/>
          <w:szCs w:val="24"/>
          <w:vertAlign w:val="superscript"/>
        </w:rPr>
        <w:t>, 2</w:t>
      </w:r>
      <w:r>
        <w:rPr>
          <w:rFonts w:ascii="Arial" w:cs="Arial" w:hAnsi="Arial"/>
          <w:sz w:val="24"/>
          <w:szCs w:val="24"/>
        </w:rPr>
        <w:t>.</w:t>
      </w:r>
      <w:r>
        <w:rPr>
          <w:rFonts w:ascii="Arial" w:cs="Arial" w:hAnsi="Arial"/>
          <w:sz w:val="24"/>
          <w:szCs w:val="24"/>
        </w:rPr>
        <w:t xml:space="preserv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Su incidencia y letalidad hacen de esta afección un verdadero reto para los s</w:t>
      </w:r>
      <w:r>
        <w:rPr>
          <w:rFonts w:ascii="Arial" w:cs="Arial" w:hAnsi="Arial"/>
          <w:sz w:val="24"/>
          <w:szCs w:val="24"/>
        </w:rPr>
        <w:t xml:space="preserve">ervicios asistenciales de salud, con </w:t>
      </w:r>
      <w:r>
        <w:rPr>
          <w:rFonts w:ascii="Arial" w:cs="Arial" w:hAnsi="Arial"/>
          <w:sz w:val="24"/>
          <w:szCs w:val="24"/>
        </w:rPr>
        <w:t>una inci</w:t>
      </w:r>
      <w:r>
        <w:rPr>
          <w:rFonts w:ascii="Arial" w:cs="Arial" w:hAnsi="Arial"/>
          <w:sz w:val="24"/>
          <w:szCs w:val="24"/>
        </w:rPr>
        <w:t xml:space="preserve">dencia anual de 2-5 adultos por cada </w:t>
      </w:r>
      <w:r>
        <w:rPr>
          <w:rFonts w:ascii="Arial" w:cs="Arial" w:hAnsi="Arial"/>
          <w:sz w:val="24"/>
          <w:szCs w:val="24"/>
        </w:rPr>
        <w:t>1.000 habitantes</w:t>
      </w:r>
      <w:r>
        <w:rPr>
          <w:rFonts w:ascii="Arial" w:cs="Arial" w:hAnsi="Arial"/>
          <w:sz w:val="24"/>
          <w:szCs w:val="24"/>
        </w:rPr>
        <w:t>.</w:t>
      </w:r>
      <w:r>
        <w:rPr>
          <w:rFonts w:ascii="Arial" w:cs="Arial" w:hAnsi="Arial"/>
          <w:sz w:val="24"/>
          <w:szCs w:val="24"/>
        </w:rPr>
        <w:t xml:space="preserve"> </w:t>
      </w:r>
      <w:r>
        <w:rPr>
          <w:rFonts w:ascii="Arial" w:cs="Arial" w:hAnsi="Arial"/>
          <w:sz w:val="24"/>
          <w:szCs w:val="24"/>
        </w:rPr>
        <w:t>C</w:t>
      </w:r>
      <w:r>
        <w:rPr>
          <w:rFonts w:ascii="Arial" w:cs="Arial" w:hAnsi="Arial"/>
          <w:sz w:val="24"/>
          <w:szCs w:val="24"/>
        </w:rPr>
        <w:t xml:space="preserve">uando se presenta en pacientes con enfermedad </w:t>
      </w:r>
      <w:r>
        <w:rPr>
          <w:rFonts w:ascii="Arial" w:cs="Arial" w:hAnsi="Arial"/>
          <w:sz w:val="24"/>
          <w:szCs w:val="24"/>
        </w:rPr>
        <w:t xml:space="preserve">pulmonar </w:t>
      </w:r>
      <w:r>
        <w:rPr>
          <w:rFonts w:ascii="Arial" w:cs="Arial" w:hAnsi="Arial"/>
          <w:sz w:val="24"/>
          <w:szCs w:val="24"/>
        </w:rPr>
        <w:t>obstructiva crónica el pronóstico es peor</w:t>
      </w:r>
      <w:r>
        <w:rPr>
          <w:rFonts w:ascii="Arial" w:cs="Arial" w:hAnsi="Arial"/>
          <w:sz w:val="24"/>
          <w:szCs w:val="24"/>
          <w:vertAlign w:val="superscript"/>
        </w:rPr>
        <w:t>1-4</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La NAC ocasiona importante morbilidad y mortalidad en la población adulta, determinando un elevado índice de hospitalizaciones y coste sanitario, especialmente en el adulto mayor con enfermedades preexistentes</w:t>
      </w:r>
      <w:r>
        <w:rPr>
          <w:rFonts w:ascii="Arial" w:cs="Arial" w:hAnsi="Arial"/>
          <w:sz w:val="24"/>
          <w:szCs w:val="24"/>
          <w:vertAlign w:val="superscript"/>
        </w:rPr>
        <w:t>6, 7</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 xml:space="preserve">La incidencia anual de NAC en el adulto fluctúa entre 1,07 y 1,2 casos por cada 1.000 </w:t>
      </w:r>
      <w:r>
        <w:rPr>
          <w:rFonts w:ascii="Arial" w:cs="Arial" w:hAnsi="Arial"/>
          <w:sz w:val="24"/>
          <w:szCs w:val="24"/>
        </w:rPr>
        <w:t>persona</w:t>
      </w:r>
      <w:r>
        <w:rPr>
          <w:rFonts w:ascii="Arial" w:cs="Arial" w:hAnsi="Arial"/>
          <w:sz w:val="24"/>
          <w:szCs w:val="24"/>
        </w:rPr>
        <w:t>s-año</w:t>
      </w:r>
      <w:r>
        <w:rPr>
          <w:rFonts w:ascii="Arial" w:cs="Arial" w:hAnsi="Arial"/>
          <w:sz w:val="24"/>
          <w:szCs w:val="24"/>
        </w:rPr>
        <w:t xml:space="preserve"> o 1,5-1,7 casos por cada 1.000 habitantes, elevándose en el adulto mayor de 65 años a 12,7-15,3 casos por cada 1.000 personas-año</w:t>
      </w:r>
      <w:r>
        <w:rPr>
          <w:rFonts w:ascii="Arial" w:cs="Arial" w:hAnsi="Arial"/>
          <w:sz w:val="24"/>
          <w:szCs w:val="24"/>
          <w:vertAlign w:val="superscript"/>
        </w:rPr>
        <w:t>8</w:t>
      </w:r>
      <w:r>
        <w:rPr>
          <w:rFonts w:ascii="Arial" w:cs="Arial" w:hAnsi="Arial"/>
          <w:sz w:val="24"/>
          <w:szCs w:val="24"/>
          <w:vertAlign w:val="superscript"/>
        </w:rPr>
        <w:t>, 9</w:t>
      </w:r>
      <w:r>
        <w:rPr>
          <w:rFonts w:ascii="Arial" w:cs="Arial" w:hAnsi="Arial"/>
          <w:sz w:val="24"/>
          <w:szCs w:val="24"/>
        </w:rPr>
        <w:t xml:space="preserve">. </w:t>
      </w:r>
      <w:r>
        <w:rPr>
          <w:rFonts w:ascii="Arial" w:cs="Arial" w:hAnsi="Arial"/>
          <w:sz w:val="24"/>
          <w:szCs w:val="24"/>
        </w:rPr>
        <w:t>A pesar de la disponibilidad de</w:t>
      </w:r>
      <w:r>
        <w:rPr>
          <w:rFonts w:ascii="Arial" w:cs="Arial" w:hAnsi="Arial"/>
          <w:sz w:val="24"/>
          <w:szCs w:val="24"/>
        </w:rPr>
        <w:t xml:space="preserve"> </w:t>
      </w:r>
      <w:r>
        <w:rPr>
          <w:rFonts w:ascii="Arial" w:cs="Arial" w:hAnsi="Arial"/>
          <w:sz w:val="24"/>
          <w:szCs w:val="24"/>
        </w:rPr>
        <w:t xml:space="preserve">antimicrobianos </w:t>
      </w:r>
      <w:r>
        <w:rPr>
          <w:rFonts w:ascii="Arial" w:cs="Arial" w:hAnsi="Arial"/>
          <w:sz w:val="24"/>
          <w:szCs w:val="24"/>
        </w:rPr>
        <w:t>con amplio espectro</w:t>
      </w:r>
      <w:r>
        <w:rPr>
          <w:rFonts w:ascii="Arial" w:cs="Arial" w:hAnsi="Arial"/>
          <w:sz w:val="24"/>
          <w:szCs w:val="24"/>
        </w:rPr>
        <w:t xml:space="preserve">, </w:t>
      </w:r>
      <w:r>
        <w:rPr>
          <w:rFonts w:ascii="Arial" w:cs="Arial" w:hAnsi="Arial"/>
          <w:sz w:val="24"/>
          <w:szCs w:val="24"/>
        </w:rPr>
        <w:t xml:space="preserve">la NAC se es la única enfermedad infecciosa que está entre las primeras diez causas de muerte, tanto es así, que se sitúa entre la cuarta a </w:t>
      </w:r>
      <w:r>
        <w:rPr>
          <w:rFonts w:ascii="Arial" w:cs="Arial" w:hAnsi="Arial"/>
          <w:sz w:val="24"/>
          <w:szCs w:val="24"/>
        </w:rPr>
        <w:t xml:space="preserve">sexta causa de </w:t>
      </w:r>
      <w:r>
        <w:rPr>
          <w:rFonts w:ascii="Arial" w:cs="Arial" w:hAnsi="Arial"/>
          <w:sz w:val="24"/>
          <w:szCs w:val="24"/>
        </w:rPr>
        <w:t>fallecimiento</w:t>
      </w:r>
      <w:r>
        <w:rPr>
          <w:rFonts w:ascii="Arial" w:cs="Arial" w:hAnsi="Arial"/>
          <w:sz w:val="24"/>
          <w:szCs w:val="24"/>
        </w:rPr>
        <w:t xml:space="preserve">, después de la cardiopatía isquémica, enfermedad cerebrovascular y </w:t>
      </w:r>
      <w:r>
        <w:rPr>
          <w:rFonts w:ascii="Arial" w:cs="Arial" w:hAnsi="Arial"/>
          <w:sz w:val="24"/>
          <w:szCs w:val="24"/>
        </w:rPr>
        <w:t>el cáncer</w:t>
      </w:r>
      <w:r>
        <w:rPr>
          <w:rFonts w:ascii="Arial" w:cs="Arial" w:hAnsi="Arial"/>
          <w:sz w:val="24"/>
          <w:szCs w:val="24"/>
        </w:rPr>
        <w:t>, y son la segunda causa determinante de años de vida potencial perdidos de la población</w:t>
      </w:r>
      <w:r>
        <w:rPr>
          <w:rFonts w:ascii="Arial" w:cs="Arial" w:hAnsi="Arial"/>
          <w:sz w:val="24"/>
          <w:szCs w:val="24"/>
          <w:vertAlign w:val="superscript"/>
        </w:rPr>
        <w:t>1-10</w:t>
      </w:r>
      <w:r>
        <w:rPr>
          <w:rFonts w:ascii="Arial" w:cs="Arial" w:hAnsi="Arial"/>
          <w:sz w:val="24"/>
          <w:szCs w:val="24"/>
        </w:rPr>
        <w:t>.</w:t>
      </w:r>
      <w:r>
        <w:rPr>
          <w:rFonts w:ascii="Arial" w:cs="Arial" w:hAnsi="Arial"/>
          <w:sz w:val="24"/>
          <w:szCs w:val="24"/>
          <w:vertAlign w:val="superscript"/>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both"/>
        <w:rPr>
          <w:rFonts w:ascii="Arial" w:cs="Arial" w:eastAsia="Times New Roman" w:hAnsi="Arial"/>
          <w:sz w:val="24"/>
          <w:szCs w:val="24"/>
          <w:lang w:val="es-ES" w:eastAsia="es-ES"/>
        </w:rPr>
      </w:pPr>
      <w:r>
        <w:rPr>
          <w:rFonts w:ascii="Arial" w:cs="Arial" w:eastAsia="Times New Roman" w:hAnsi="Arial"/>
          <w:sz w:val="24"/>
          <w:szCs w:val="24"/>
          <w:lang w:val="es-ES" w:eastAsia="es-ES"/>
        </w:rPr>
        <w:t>La NAC afecta aproximadamente al 1% de la población adulta del Reino Unido cada año, lo que representa</w:t>
      </w:r>
      <w:r>
        <w:rPr>
          <w:rFonts w:ascii="Arial" w:cs="Arial" w:eastAsia="Times New Roman" w:hAnsi="Arial"/>
          <w:sz w:val="24"/>
          <w:szCs w:val="24"/>
          <w:lang w:val="es-ES" w:eastAsia="es-ES"/>
        </w:rPr>
        <w:t xml:space="preserve"> </w:t>
      </w:r>
      <w:r>
        <w:rPr>
          <w:rFonts w:ascii="Arial" w:cs="Arial" w:eastAsia="Times New Roman" w:hAnsi="Arial"/>
          <w:sz w:val="24"/>
          <w:szCs w:val="24"/>
          <w:lang w:val="es-ES" w:eastAsia="es-ES"/>
        </w:rPr>
        <w:t>más de 100</w:t>
      </w:r>
      <w:r>
        <w:rPr>
          <w:rFonts w:ascii="Arial" w:cs="Arial" w:eastAsia="Times New Roman" w:hAnsi="Arial"/>
          <w:sz w:val="24"/>
          <w:szCs w:val="24"/>
          <w:lang w:val="es-ES" w:eastAsia="es-ES"/>
        </w:rPr>
        <w:t xml:space="preserve"> 000 ingresos hospitalarios.</w:t>
      </w:r>
      <w:r>
        <w:rPr>
          <w:rFonts w:ascii="Arial" w:cs="Arial" w:eastAsia="Times New Roman" w:hAnsi="Arial"/>
          <w:sz w:val="24"/>
          <w:szCs w:val="24"/>
          <w:lang w:val="es-ES" w:eastAsia="es-ES"/>
        </w:rPr>
        <w:t xml:space="preserve"> La duración media de la estancia es de 6 días y los costes sanitarios </w:t>
      </w:r>
      <w:r>
        <w:rPr>
          <w:rFonts w:ascii="Arial" w:cs="Arial" w:eastAsia="Times New Roman" w:hAnsi="Arial"/>
          <w:sz w:val="24"/>
          <w:szCs w:val="24"/>
          <w:lang w:val="es-ES" w:eastAsia="es-ES"/>
        </w:rPr>
        <w:t xml:space="preserve">estimados </w:t>
      </w:r>
      <w:r>
        <w:rPr>
          <w:rFonts w:ascii="Arial" w:cs="Arial" w:eastAsia="Times New Roman" w:hAnsi="Arial"/>
          <w:sz w:val="24"/>
          <w:szCs w:val="24"/>
          <w:lang w:val="es-ES" w:eastAsia="es-ES"/>
        </w:rPr>
        <w:t xml:space="preserve">ascienden a 441 millones </w:t>
      </w:r>
      <w:r>
        <w:rPr>
          <w:rFonts w:ascii="Arial" w:cs="Arial" w:eastAsia="Times New Roman" w:hAnsi="Arial"/>
          <w:sz w:val="24"/>
          <w:szCs w:val="24"/>
          <w:lang w:val="es-ES" w:eastAsia="es-ES"/>
        </w:rPr>
        <w:t>de libras esterlinas</w:t>
      </w:r>
      <w:r>
        <w:rPr>
          <w:rFonts w:ascii="Arial" w:cs="Arial" w:eastAsia="Times New Roman" w:hAnsi="Arial"/>
          <w:sz w:val="24"/>
          <w:szCs w:val="24"/>
          <w:vertAlign w:val="superscript"/>
          <w:lang w:val="es-ES" w:eastAsia="es-ES"/>
        </w:rPr>
        <w:t>11-1</w:t>
      </w:r>
      <w:r>
        <w:rPr>
          <w:rFonts w:ascii="Arial" w:cs="Arial" w:eastAsia="Times New Roman" w:hAnsi="Arial"/>
          <w:sz w:val="24"/>
          <w:szCs w:val="24"/>
          <w:vertAlign w:val="superscript"/>
          <w:lang w:val="es-ES" w:eastAsia="es-ES"/>
        </w:rPr>
        <w:t>3</w:t>
      </w:r>
      <w:r>
        <w:rPr>
          <w:rFonts w:ascii="Arial" w:cs="Arial" w:eastAsia="Times New Roman"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Mientras que en </w:t>
      </w:r>
      <w:r>
        <w:rPr>
          <w:rFonts w:ascii="Arial" w:cs="Arial" w:hAnsi="Arial"/>
          <w:sz w:val="24"/>
          <w:szCs w:val="24"/>
        </w:rPr>
        <w:t>España la incidencia de la enfermedad se estima que está entre 2 y 10 casos por 1.000 habitantes/año, tasa que es aún mayor en las personas de edad avanzada. La enfermedad es la primera causa de muerte de origen infeccioso en el mundo occidental y la sexta si se consideran globalmente todas las causas</w:t>
      </w:r>
      <w:r>
        <w:rPr>
          <w:rFonts w:ascii="Arial" w:cs="Arial" w:hAnsi="Arial"/>
          <w:sz w:val="24"/>
          <w:szCs w:val="24"/>
          <w:vertAlign w:val="superscript"/>
        </w:rPr>
        <w:t>1</w:t>
      </w:r>
      <w:r>
        <w:rPr>
          <w:rFonts w:ascii="Arial" w:cs="Arial" w:hAnsi="Arial"/>
          <w:sz w:val="24"/>
          <w:szCs w:val="24"/>
          <w:vertAlign w:val="superscript"/>
        </w:rPr>
        <w:t>4</w:t>
      </w:r>
      <w:r>
        <w:rPr>
          <w:rFonts w:ascii="Arial" w:cs="Arial" w:hAnsi="Arial"/>
          <w:sz w:val="24"/>
          <w:szCs w:val="24"/>
          <w:vertAlign w:val="superscript"/>
        </w:rPr>
        <w:t>-17</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vertAlign w:val="superscript"/>
          <w:lang w:val="es-ES" w:eastAsia="es-ES"/>
        </w:rPr>
      </w:pPr>
      <w:r>
        <w:rPr>
          <w:rFonts w:ascii="Arial" w:cs="Arial" w:hAnsi="Arial"/>
          <w:sz w:val="24"/>
          <w:szCs w:val="24"/>
          <w:lang w:val="es-ES" w:eastAsia="es-ES"/>
        </w:rPr>
        <w:t>La neumonía es la infección aguda potencialmente mortal más frecuente en E</w:t>
      </w:r>
      <w:r>
        <w:rPr>
          <w:rFonts w:ascii="Arial" w:cs="Arial" w:hAnsi="Arial"/>
          <w:sz w:val="24"/>
          <w:szCs w:val="24"/>
          <w:lang w:val="es-ES" w:eastAsia="es-ES"/>
        </w:rPr>
        <w:t xml:space="preserve">stados </w:t>
      </w:r>
      <w:r>
        <w:rPr>
          <w:rFonts w:ascii="Arial" w:cs="Arial" w:hAnsi="Arial"/>
          <w:sz w:val="24"/>
          <w:szCs w:val="24"/>
          <w:lang w:val="es-ES" w:eastAsia="es-ES"/>
        </w:rPr>
        <w:t>U</w:t>
      </w:r>
      <w:r>
        <w:rPr>
          <w:rFonts w:ascii="Arial" w:cs="Arial" w:hAnsi="Arial"/>
          <w:sz w:val="24"/>
          <w:szCs w:val="24"/>
          <w:lang w:val="es-ES" w:eastAsia="es-ES"/>
        </w:rPr>
        <w:t>nidos,</w:t>
      </w:r>
      <w:r>
        <w:rPr>
          <w:rFonts w:ascii="Arial" w:cs="Arial" w:hAnsi="Arial"/>
          <w:sz w:val="24"/>
          <w:szCs w:val="24"/>
          <w:lang w:val="es-ES" w:eastAsia="es-ES"/>
        </w:rPr>
        <w:t xml:space="preserve"> cada</w:t>
      </w:r>
      <w:r>
        <w:rPr>
          <w:rFonts w:ascii="Arial" w:cs="Arial" w:hAnsi="Arial"/>
          <w:sz w:val="24"/>
          <w:szCs w:val="24"/>
          <w:lang w:val="es-ES" w:eastAsia="es-ES"/>
        </w:rPr>
        <w:t xml:space="preserve"> </w:t>
      </w:r>
      <w:r>
        <w:rPr>
          <w:rFonts w:ascii="Arial" w:cs="Arial" w:hAnsi="Arial"/>
          <w:sz w:val="24"/>
          <w:szCs w:val="24"/>
          <w:lang w:val="es-ES" w:eastAsia="es-ES"/>
        </w:rPr>
        <w:t>año afecta a &gt; 1% de la población y provoca más de 1,25 millones de hospitalizaciones. La</w:t>
      </w:r>
      <w:r>
        <w:rPr>
          <w:rFonts w:ascii="Arial" w:cs="Arial" w:hAnsi="Arial"/>
          <w:sz w:val="24"/>
          <w:szCs w:val="24"/>
          <w:lang w:val="es-ES" w:eastAsia="es-ES"/>
        </w:rPr>
        <w:t xml:space="preserve"> </w:t>
      </w:r>
      <w:r>
        <w:rPr>
          <w:rFonts w:ascii="Arial" w:cs="Arial" w:hAnsi="Arial"/>
          <w:sz w:val="24"/>
          <w:szCs w:val="24"/>
          <w:lang w:val="es-ES" w:eastAsia="es-ES"/>
        </w:rPr>
        <w:t>incidencia de la neumonía es elevada en lactantes y niños pequeños, disminuye considerablemente durante la infancia, es relativamente baja en adultos jóvenes, pero empieza a</w:t>
      </w:r>
      <w:r>
        <w:rPr>
          <w:rFonts w:ascii="Arial" w:cs="Arial" w:hAnsi="Arial"/>
          <w:sz w:val="24"/>
          <w:szCs w:val="24"/>
          <w:lang w:val="es-ES" w:eastAsia="es-ES"/>
        </w:rPr>
        <w:t xml:space="preserve"> </w:t>
      </w:r>
      <w:r>
        <w:rPr>
          <w:rFonts w:ascii="Arial" w:cs="Arial" w:hAnsi="Arial"/>
          <w:sz w:val="24"/>
          <w:szCs w:val="24"/>
          <w:lang w:val="es-ES" w:eastAsia="es-ES"/>
        </w:rPr>
        <w:t>aumentar a partir de los 50 años y especialmente después de los 65 años</w:t>
      </w:r>
      <w:r>
        <w:rPr>
          <w:rFonts w:ascii="Arial" w:cs="Arial" w:hAnsi="Arial"/>
          <w:sz w:val="24"/>
          <w:szCs w:val="24"/>
          <w:vertAlign w:val="superscript"/>
          <w:lang w:val="es-ES" w:eastAsia="es-ES"/>
        </w:rPr>
        <w:t>1</w:t>
      </w:r>
      <w:r>
        <w:rPr>
          <w:rFonts w:ascii="Arial" w:cs="Arial" w:hAnsi="Arial"/>
          <w:sz w:val="24"/>
          <w:szCs w:val="24"/>
          <w:vertAlign w:val="superscript"/>
          <w:lang w:val="es-ES" w:eastAsia="es-ES"/>
        </w:rPr>
        <w:t>6</w:t>
      </w:r>
      <w:r>
        <w:rPr>
          <w:rFonts w:ascii="Arial" w:cs="Arial" w:hAnsi="Arial"/>
          <w:sz w:val="24"/>
          <w:szCs w:val="24"/>
          <w:vertAlign w:val="superscript"/>
          <w:lang w:val="es-ES" w:eastAsia="es-ES"/>
        </w:rPr>
        <w:t>-</w:t>
      </w:r>
      <w:r>
        <w:rPr>
          <w:rFonts w:ascii="Arial" w:cs="Arial" w:hAnsi="Arial"/>
          <w:sz w:val="24"/>
          <w:szCs w:val="24"/>
          <w:vertAlign w:val="superscript"/>
          <w:lang w:val="es-ES" w:eastAsia="es-ES"/>
        </w:rPr>
        <w:t>18</w:t>
      </w:r>
      <w:r>
        <w:rPr>
          <w:rFonts w:ascii="Arial" w:cs="Arial" w:hAnsi="Arial"/>
          <w:sz w:val="24"/>
          <w:szCs w:val="24"/>
          <w:lang w:val="es-ES" w:eastAsia="es-ES"/>
        </w:rPr>
        <w:t>.</w:t>
      </w:r>
      <w:r>
        <w:rPr>
          <w:rFonts w:ascii="Arial" w:cs="Arial" w:hAnsi="Arial"/>
          <w:sz w:val="24"/>
          <w:szCs w:val="24"/>
          <w:vertAlign w:val="superscript"/>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Alrededor del 3% de las personas mayores de 65 años en </w:t>
      </w:r>
      <w:r>
        <w:rPr>
          <w:rFonts w:ascii="Arial" w:cs="Arial" w:hAnsi="Arial"/>
          <w:sz w:val="24"/>
          <w:szCs w:val="24"/>
          <w:lang w:val="es-ES" w:eastAsia="es-ES"/>
        </w:rPr>
        <w:t>E</w:t>
      </w:r>
      <w:r>
        <w:rPr>
          <w:rFonts w:ascii="Arial" w:cs="Arial" w:hAnsi="Arial"/>
          <w:sz w:val="24"/>
          <w:szCs w:val="24"/>
          <w:lang w:val="es-ES" w:eastAsia="es-ES"/>
        </w:rPr>
        <w:t xml:space="preserve">stados </w:t>
      </w:r>
      <w:r>
        <w:rPr>
          <w:rFonts w:ascii="Arial" w:cs="Arial" w:hAnsi="Arial"/>
          <w:sz w:val="24"/>
          <w:szCs w:val="24"/>
          <w:lang w:val="es-ES" w:eastAsia="es-ES"/>
        </w:rPr>
        <w:t>U</w:t>
      </w:r>
      <w:r>
        <w:rPr>
          <w:rFonts w:ascii="Arial" w:cs="Arial" w:hAnsi="Arial"/>
          <w:sz w:val="24"/>
          <w:szCs w:val="24"/>
          <w:lang w:val="es-ES" w:eastAsia="es-ES"/>
        </w:rPr>
        <w:t>nidos</w:t>
      </w:r>
      <w:r>
        <w:rPr>
          <w:rFonts w:ascii="Arial" w:cs="Arial" w:hAnsi="Arial"/>
          <w:sz w:val="24"/>
          <w:szCs w:val="24"/>
          <w:lang w:val="es-ES" w:eastAsia="es-ES"/>
        </w:rPr>
        <w:t xml:space="preserve"> </w:t>
      </w:r>
      <w:r>
        <w:rPr>
          <w:rFonts w:ascii="Arial" w:cs="Arial" w:hAnsi="Arial"/>
          <w:sz w:val="24"/>
          <w:szCs w:val="24"/>
          <w:lang w:val="es-ES" w:eastAsia="es-ES"/>
        </w:rPr>
        <w:t>tiene probabilidades de</w:t>
      </w:r>
      <w:r>
        <w:rPr>
          <w:rFonts w:ascii="Arial" w:cs="Arial" w:hAnsi="Arial"/>
          <w:sz w:val="24"/>
          <w:szCs w:val="24"/>
          <w:lang w:val="es-ES" w:eastAsia="es-ES"/>
        </w:rPr>
        <w:t xml:space="preserve"> </w:t>
      </w:r>
      <w:r>
        <w:rPr>
          <w:rFonts w:ascii="Arial" w:cs="Arial" w:hAnsi="Arial"/>
          <w:sz w:val="24"/>
          <w:szCs w:val="24"/>
          <w:lang w:val="es-ES" w:eastAsia="es-ES"/>
        </w:rPr>
        <w:t>sufrir una neumonía cada año, de las cuales casi la mitad será hospitalizada, lo que dará</w:t>
      </w:r>
      <w:r>
        <w:rPr>
          <w:rFonts w:ascii="Arial" w:cs="Arial" w:hAnsi="Arial"/>
          <w:sz w:val="24"/>
          <w:szCs w:val="24"/>
          <w:lang w:val="es-ES" w:eastAsia="es-ES"/>
        </w:rPr>
        <w:t xml:space="preserve"> </w:t>
      </w:r>
      <w:r>
        <w:rPr>
          <w:rFonts w:ascii="Arial" w:cs="Arial" w:hAnsi="Arial"/>
          <w:sz w:val="24"/>
          <w:szCs w:val="24"/>
          <w:lang w:val="es-ES" w:eastAsia="es-ES"/>
        </w:rPr>
        <w:t>lugar a más de 1,5 millones de hospitalizaciones anuales</w:t>
      </w:r>
      <w:r>
        <w:rPr>
          <w:rFonts w:ascii="Arial" w:cs="Arial" w:hAnsi="Arial"/>
          <w:sz w:val="24"/>
          <w:szCs w:val="24"/>
          <w:vertAlign w:val="superscript"/>
          <w:lang w:val="es-ES" w:eastAsia="es-ES"/>
        </w:rPr>
        <w:t>1</w:t>
      </w:r>
      <w:r>
        <w:rPr>
          <w:rFonts w:ascii="Arial" w:cs="Arial" w:hAnsi="Arial"/>
          <w:sz w:val="24"/>
          <w:szCs w:val="24"/>
          <w:vertAlign w:val="superscript"/>
          <w:lang w:val="es-ES" w:eastAsia="es-ES"/>
        </w:rPr>
        <w:t>6-20</w:t>
      </w:r>
      <w:r>
        <w:rPr>
          <w:rFonts w:ascii="Arial" w:cs="Arial" w:hAnsi="Arial"/>
          <w:sz w:val="24"/>
          <w:szCs w:val="24"/>
          <w:lang w:val="es-ES" w:eastAsia="es-ES"/>
        </w:rPr>
        <w:t xml:space="preserve">. </w:t>
      </w:r>
      <w:r>
        <w:rPr>
          <w:rFonts w:ascii="Arial" w:cs="Arial" w:hAnsi="Arial"/>
          <w:sz w:val="24"/>
          <w:szCs w:val="24"/>
          <w:lang w:val="es-ES" w:eastAsia="es-ES"/>
        </w:rPr>
        <w:t xml:space="preserve"> </w:t>
      </w:r>
    </w:p>
    <w:p>
      <w:pPr>
        <w:pStyle w:val="style0"/>
        <w:spacing w:after="0" w:lineRule="auto" w:line="360"/>
        <w:jc w:val="both"/>
        <w:rPr>
          <w:rFonts w:ascii="Arial" w:cs="Arial" w:hAnsi="Arial"/>
          <w:sz w:val="24"/>
          <w:szCs w:val="24"/>
          <w:vertAlign w:val="superscript"/>
          <w:lang w:val="es-ES" w:eastAsia="es-ES"/>
        </w:rPr>
      </w:pPr>
      <w:r>
        <w:rPr>
          <w:rFonts w:ascii="Arial" w:cs="Arial" w:hAnsi="Arial"/>
          <w:sz w:val="24"/>
          <w:szCs w:val="24"/>
          <w:lang w:val="es-ES" w:eastAsia="es-ES"/>
        </w:rPr>
        <w:t>En 20</w:t>
      </w:r>
      <w:r>
        <w:rPr>
          <w:rFonts w:ascii="Arial" w:cs="Arial" w:hAnsi="Arial"/>
          <w:sz w:val="24"/>
          <w:szCs w:val="24"/>
          <w:lang w:val="es-ES" w:eastAsia="es-ES"/>
        </w:rPr>
        <w:t>19</w:t>
      </w:r>
      <w:r>
        <w:rPr>
          <w:rFonts w:ascii="Arial" w:cs="Arial" w:hAnsi="Arial"/>
          <w:sz w:val="24"/>
          <w:szCs w:val="24"/>
          <w:lang w:val="es-ES" w:eastAsia="es-ES"/>
        </w:rPr>
        <w:t>, Cuba tuvo una tasa de incidencia de en</w:t>
      </w:r>
      <w:r>
        <w:rPr>
          <w:rFonts w:ascii="Arial" w:cs="Arial" w:hAnsi="Arial"/>
          <w:sz w:val="24"/>
          <w:szCs w:val="24"/>
          <w:lang w:val="es-ES" w:eastAsia="es-ES"/>
        </w:rPr>
        <w:t xml:space="preserve">fermedades respiratorias agudas </w:t>
      </w:r>
      <w:r>
        <w:rPr>
          <w:rFonts w:ascii="Arial" w:cs="Arial" w:hAnsi="Arial"/>
          <w:sz w:val="24"/>
          <w:szCs w:val="24"/>
          <w:lang w:val="es-ES" w:eastAsia="es-ES"/>
        </w:rPr>
        <w:t>de 283,4 por cada 100 000 habitantes, con</w:t>
      </w:r>
      <w:r>
        <w:rPr>
          <w:rFonts w:ascii="Arial" w:cs="Arial" w:hAnsi="Arial"/>
          <w:sz w:val="24"/>
          <w:szCs w:val="24"/>
          <w:lang w:val="es-ES" w:eastAsia="es-ES"/>
        </w:rPr>
        <w:t xml:space="preserve"> una mortalidad por influenza y </w:t>
      </w:r>
      <w:r>
        <w:rPr>
          <w:rFonts w:ascii="Arial" w:cs="Arial" w:hAnsi="Arial"/>
          <w:sz w:val="24"/>
          <w:szCs w:val="24"/>
          <w:lang w:val="es-ES" w:eastAsia="es-ES"/>
        </w:rPr>
        <w:t>neumo</w:t>
      </w:r>
      <w:r>
        <w:rPr>
          <w:rFonts w:ascii="Arial" w:cs="Arial" w:hAnsi="Arial"/>
          <w:sz w:val="24"/>
          <w:szCs w:val="24"/>
          <w:lang w:val="es-ES" w:eastAsia="es-ES"/>
        </w:rPr>
        <w:t>nía de 227,7 por 100 000 habitantes</w:t>
      </w:r>
      <w:r>
        <w:rPr>
          <w:rFonts w:ascii="Arial" w:cs="Arial" w:hAnsi="Arial"/>
          <w:sz w:val="24"/>
          <w:szCs w:val="24"/>
          <w:vertAlign w:val="superscript"/>
          <w:lang w:val="es-ES" w:eastAsia="es-ES"/>
        </w:rPr>
        <w:t>21</w:t>
      </w:r>
      <w:r>
        <w:rPr>
          <w:rFonts w:ascii="Arial" w:cs="Arial" w:hAnsi="Arial"/>
          <w:sz w:val="24"/>
          <w:szCs w:val="24"/>
          <w:vertAlign w:val="superscript"/>
          <w:lang w:val="es-ES" w:eastAsia="es-ES"/>
        </w:rPr>
        <w:t>, 22</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El coste anual de la atención médica a los pacientes con esta condición es aproximadamente de unos 10 billones de euros en Europa y 8,4 billones de dólares en Estados Unidos, especialmente determinado por la atención hospitalaria y la pérdida de productividad laboral</w:t>
      </w:r>
      <w:r>
        <w:rPr>
          <w:rFonts w:ascii="Arial" w:cs="Arial" w:hAnsi="Arial"/>
          <w:sz w:val="24"/>
          <w:szCs w:val="24"/>
          <w:vertAlign w:val="superscript"/>
        </w:rPr>
        <w:t>2</w:t>
      </w:r>
      <w:r>
        <w:rPr>
          <w:rFonts w:ascii="Arial" w:cs="Arial" w:hAnsi="Arial"/>
          <w:sz w:val="24"/>
          <w:szCs w:val="24"/>
          <w:vertAlign w:val="superscript"/>
        </w:rPr>
        <w:t>, 3,24</w:t>
      </w:r>
      <w:r>
        <w:rPr>
          <w:rFonts w:ascii="Arial" w:cs="Arial" w:hAnsi="Arial"/>
          <w:sz w:val="24"/>
          <w:szCs w:val="24"/>
        </w:rPr>
        <w:t xml:space="preserve">. </w:t>
      </w:r>
    </w:p>
    <w:p>
      <w:pPr>
        <w:pStyle w:val="style4097"/>
        <w:spacing w:before="100" w:after="100" w:lineRule="auto" w:line="360"/>
        <w:jc w:val="both"/>
        <w:rPr>
          <w:rFonts w:ascii="Arial" w:cs="Arial" w:hAnsi="Arial"/>
        </w:rPr>
      </w:pPr>
      <w:r>
        <w:rPr>
          <w:rFonts w:ascii="Arial" w:cs="Arial" w:hAnsi="Arial"/>
        </w:rPr>
        <w:t>Es evidente que, a pesar de la introducción de potentes antimicrobianos, la NAC es un problema no resuelto, dado el hecho que un grupo de factores incrementan el riesgo de morir por esta enfermedad</w:t>
      </w:r>
      <w:r>
        <w:rPr>
          <w:rFonts w:ascii="Arial" w:cs="Arial" w:hAnsi="Arial"/>
          <w:vertAlign w:val="superscript"/>
        </w:rPr>
        <w:t>25</w:t>
      </w:r>
      <w:r>
        <w:rPr>
          <w:rFonts w:ascii="Arial" w:cs="Arial" w:hAnsi="Arial"/>
          <w:vertAlign w:val="superscript"/>
        </w:rPr>
        <w:t>, 26</w:t>
      </w:r>
      <w:r>
        <w:rPr>
          <w:rFonts w:ascii="Arial" w:cs="Arial" w:hAnsi="Arial"/>
        </w:rPr>
        <w: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Se describe una gran variabilidad en la tasa de hospitalizaciones por neumonía en diferentes áreas geográficas,</w:t>
      </w:r>
      <w:r>
        <w:rPr>
          <w:rFonts w:ascii="Arial" w:cs="Arial" w:hAnsi="Arial"/>
          <w:sz w:val="24"/>
          <w:szCs w:val="24"/>
        </w:rPr>
        <w:t xml:space="preserve"> </w:t>
      </w:r>
      <w:r>
        <w:rPr>
          <w:rFonts w:ascii="Arial" w:cs="Arial" w:hAnsi="Arial"/>
          <w:sz w:val="24"/>
          <w:szCs w:val="24"/>
        </w:rPr>
        <w:t>probablemente determinado por diferentes criterios empleados por los médicos para evaluar la gravedad de los enfermos, accesibilidad a los sistemas de salud y las características de la población examinada</w:t>
      </w:r>
      <w:r>
        <w:rPr>
          <w:rFonts w:ascii="Arial" w:cs="Arial" w:hAnsi="Arial"/>
          <w:sz w:val="24"/>
          <w:szCs w:val="24"/>
          <w:vertAlign w:val="superscript"/>
        </w:rPr>
        <w:t>26</w:t>
      </w:r>
      <w:r>
        <w:rPr>
          <w:rFonts w:ascii="Arial" w:cs="Arial" w:hAnsi="Arial"/>
          <w:sz w:val="24"/>
          <w:szCs w:val="24"/>
          <w:vertAlign w:val="superscript"/>
        </w:rPr>
        <w:t>, 27</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vertAlign w:val="superscript"/>
          <w:lang w:val="es-VE"/>
        </w:rPr>
      </w:pPr>
      <w:r>
        <w:rPr>
          <w:rFonts w:ascii="Arial" w:cs="Arial" w:hAnsi="Arial"/>
          <w:sz w:val="24"/>
          <w:szCs w:val="24"/>
          <w:lang w:val="es-VE"/>
        </w:rPr>
        <w:t xml:space="preserve">La información disponible indica que los clínicos pueden, en cierto tipo de pacientes, tanto infravalorar como sobrestimar la gravedad de la NAC. La identificación precoz de los pacientes más graves y con más posibilidades de tener complicaciones y desenlaces negativos es fundamental para poder reducir la mortalidad de la NAC grave. Por desgracia, en el momento del diagnóstico muchos pacientes pueden no manifestarse como graves, o su gravedad puede pasar desapercibida. Especialmente en estos casos, y en los pacientes graves en general, un retraso en la identificación de la gravedad y, consecuentemente, </w:t>
      </w:r>
      <w:r>
        <w:rPr>
          <w:rFonts w:ascii="Arial" w:cs="Arial" w:hAnsi="Arial"/>
          <w:sz w:val="24"/>
          <w:szCs w:val="24"/>
          <w:lang w:val="es-VE"/>
        </w:rPr>
        <w:t>un tratamiento y unos cuidados subóptimos en el periodo que transcurre entre la llegada del paciente al hospital y su traslado a la unidad de cuidados intensivos (UCI) se asocia con un aumento de la mortalidad</w:t>
      </w:r>
      <w:r>
        <w:rPr>
          <w:rFonts w:ascii="Arial" w:cs="Arial" w:hAnsi="Arial"/>
          <w:sz w:val="24"/>
          <w:szCs w:val="24"/>
          <w:vertAlign w:val="superscript"/>
          <w:lang w:val="es-VE"/>
        </w:rPr>
        <w:t>28</w:t>
      </w:r>
      <w:r>
        <w:rPr>
          <w:rFonts w:ascii="Arial" w:cs="Arial" w:hAnsi="Arial"/>
          <w:sz w:val="24"/>
          <w:szCs w:val="24"/>
          <w:lang w:val="es-VE"/>
        </w:rPr>
        <w:t>.</w:t>
      </w:r>
    </w:p>
    <w:p>
      <w:pPr>
        <w:pStyle w:val="style0"/>
        <w:autoSpaceDE w:val="false"/>
        <w:autoSpaceDN w:val="false"/>
        <w:adjustRightInd w:val="false"/>
        <w:spacing w:after="0" w:lineRule="auto" w:line="360"/>
        <w:jc w:val="both"/>
        <w:rPr>
          <w:rFonts w:ascii="Arial" w:cs="Arial" w:hAnsi="Arial"/>
          <w:sz w:val="24"/>
          <w:szCs w:val="24"/>
          <w:lang w:val="es-VE"/>
        </w:rPr>
      </w:pPr>
      <w:r>
        <w:rPr>
          <w:rFonts w:ascii="Arial" w:cs="Arial" w:hAnsi="Arial"/>
          <w:sz w:val="24"/>
          <w:szCs w:val="24"/>
          <w:lang w:val="es-VE"/>
        </w:rPr>
        <w:t xml:space="preserve">Parece evidente que la identificación precoz de enfermos más graves y la de aquellos que van a agravarse rápidamente, puede permitir la intervención precoz con la estrategia adecuada, como puede ser la ubicación del paciente en la planta de hospitalización, o en la </w:t>
      </w:r>
      <w:r>
        <w:rPr>
          <w:rFonts w:ascii="Arial" w:cs="Arial" w:hAnsi="Arial"/>
          <w:sz w:val="24"/>
          <w:szCs w:val="24"/>
          <w:lang w:val="es-VE"/>
        </w:rPr>
        <w:t xml:space="preserve">unidad de cuidados intensivos </w:t>
      </w:r>
      <w:r>
        <w:rPr>
          <w:rFonts w:ascii="Arial" w:cs="Arial" w:hAnsi="Arial"/>
          <w:sz w:val="24"/>
          <w:szCs w:val="24"/>
          <w:lang w:val="es-VE"/>
        </w:rPr>
        <w:t>o intermedios, para que pueda beneficiarse del cuidado y la observación propios de cada sitio y, potencialmente, mejorar así los resultados de su tratamiento</w:t>
      </w:r>
      <w:r>
        <w:rPr>
          <w:rFonts w:ascii="Arial" w:cs="Arial" w:hAnsi="Arial"/>
          <w:sz w:val="24"/>
          <w:szCs w:val="24"/>
          <w:vertAlign w:val="superscript"/>
          <w:lang w:val="es-VE"/>
        </w:rPr>
        <w:t>19-2</w:t>
      </w:r>
      <w:r>
        <w:rPr>
          <w:rFonts w:ascii="Arial" w:cs="Arial" w:hAnsi="Arial"/>
          <w:sz w:val="24"/>
          <w:szCs w:val="24"/>
          <w:vertAlign w:val="superscript"/>
          <w:lang w:val="es-VE"/>
        </w:rPr>
        <w:t>6</w:t>
      </w:r>
      <w:r>
        <w:rPr>
          <w:rFonts w:ascii="Arial" w:cs="Arial" w:hAnsi="Arial"/>
          <w:sz w:val="24"/>
          <w:szCs w:val="24"/>
          <w:lang w:val="es-VE"/>
        </w:rPr>
        <w:t>.</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Se estima que cerca del 20% de los pacientes con NAC requieren ser manejados en el hospital debido a la gravedad de la infección pulmonar, concentrándose en esta población el mayor riesgo de complicaciones, muerte y demanda de recursos de salud. Se han identificado algunas variables clínico-epidemiológicas capaces de modificar la forma de presentación y la gravedad de la enfermedad, tales como la edad avanzada, presencia de comorbilidades, estado inmune del huésped, consumo de tabaco y alcohol, lugar de adquisición de la infección, el microorganismo causal y la contaminación ambiental.</w:t>
      </w:r>
      <w:r>
        <w:rPr>
          <w:rFonts w:ascii="Arial" w:cs="Arial" w:hAnsi="Arial"/>
          <w:sz w:val="24"/>
          <w:szCs w:val="24"/>
          <w:vertAlign w:val="superscript"/>
        </w:rPr>
        <w:t>17,18, 23-25</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Por otro lado la asociación con l</w:t>
      </w:r>
      <w:r>
        <w:rPr>
          <w:rFonts w:ascii="Arial" w:cs="Arial" w:hAnsi="Arial"/>
          <w:sz w:val="24"/>
          <w:szCs w:val="24"/>
          <w:lang w:val="es-ES" w:eastAsia="es-ES"/>
        </w:rPr>
        <w:t xml:space="preserve">a Enfermedad Pulmonar Obstructiva Crónica (EPOC) </w:t>
      </w:r>
      <w:r>
        <w:rPr>
          <w:rFonts w:ascii="Arial" w:cs="Arial" w:hAnsi="Arial"/>
          <w:sz w:val="24"/>
          <w:szCs w:val="24"/>
          <w:lang w:val="es-ES" w:eastAsia="es-ES"/>
        </w:rPr>
        <w:t>como comorbilidad aumenta el riesgo de gravedad y muerte</w:t>
      </w:r>
      <w:r>
        <w:rPr>
          <w:rFonts w:ascii="Arial" w:cs="Arial" w:hAnsi="Arial"/>
          <w:sz w:val="24"/>
          <w:szCs w:val="24"/>
          <w:vertAlign w:val="superscript"/>
          <w:lang w:val="es-ES" w:eastAsia="es-ES"/>
        </w:rPr>
        <w:t>28,29</w:t>
      </w:r>
      <w:r>
        <w:rPr>
          <w:rFonts w:ascii="Arial" w:cs="Arial" w:hAnsi="Arial"/>
          <w:sz w:val="24"/>
          <w:szCs w:val="24"/>
          <w:lang w:val="es-ES" w:eastAsia="es-ES"/>
        </w:rPr>
        <w:t>.</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La EPOC </w:t>
      </w:r>
      <w:r>
        <w:rPr>
          <w:rFonts w:ascii="Arial" w:cs="Arial" w:hAnsi="Arial"/>
          <w:sz w:val="24"/>
          <w:szCs w:val="24"/>
          <w:lang w:val="es-ES" w:eastAsia="es-ES"/>
        </w:rPr>
        <w:t>es una enfermedad frecu</w:t>
      </w:r>
      <w:r>
        <w:rPr>
          <w:rFonts w:ascii="Arial" w:cs="Arial" w:hAnsi="Arial"/>
          <w:sz w:val="24"/>
          <w:szCs w:val="24"/>
          <w:lang w:val="es-ES" w:eastAsia="es-ES"/>
        </w:rPr>
        <w:t xml:space="preserve">ente, prevenible y tratable que </w:t>
      </w:r>
      <w:r>
        <w:rPr>
          <w:rFonts w:ascii="Arial" w:cs="Arial" w:hAnsi="Arial"/>
          <w:sz w:val="24"/>
          <w:szCs w:val="24"/>
          <w:lang w:val="es-ES" w:eastAsia="es-ES"/>
        </w:rPr>
        <w:t>se caracteriza por síntomas respiratorios persistentes y limitación cróni</w:t>
      </w:r>
      <w:r>
        <w:rPr>
          <w:rFonts w:ascii="Arial" w:cs="Arial" w:hAnsi="Arial"/>
          <w:sz w:val="24"/>
          <w:szCs w:val="24"/>
          <w:lang w:val="es-ES" w:eastAsia="es-ES"/>
        </w:rPr>
        <w:t xml:space="preserve">ca al flujo aéreo que se debe a </w:t>
      </w:r>
      <w:r>
        <w:rPr>
          <w:rFonts w:ascii="Arial" w:cs="Arial" w:hAnsi="Arial"/>
          <w:sz w:val="24"/>
          <w:szCs w:val="24"/>
          <w:lang w:val="es-ES" w:eastAsia="es-ES"/>
        </w:rPr>
        <w:t>anomalías de las vías respiratorias y/o alveolares, generalmente causadas por</w:t>
      </w:r>
      <w:r>
        <w:rPr>
          <w:rFonts w:ascii="Arial" w:cs="Arial" w:hAnsi="Arial"/>
          <w:sz w:val="24"/>
          <w:szCs w:val="24"/>
          <w:lang w:val="es-ES" w:eastAsia="es-ES"/>
        </w:rPr>
        <w:t xml:space="preserve"> una exposición significativa a </w:t>
      </w:r>
      <w:r>
        <w:rPr>
          <w:rFonts w:ascii="Arial" w:cs="Arial" w:hAnsi="Arial"/>
          <w:sz w:val="24"/>
          <w:szCs w:val="24"/>
          <w:lang w:val="es-ES" w:eastAsia="es-ES"/>
        </w:rPr>
        <w:t>partículas o gases nocivos</w:t>
      </w:r>
      <w:r>
        <w:rPr>
          <w:rFonts w:ascii="Arial" w:cs="Arial" w:hAnsi="Arial"/>
          <w:sz w:val="24"/>
          <w:szCs w:val="24"/>
          <w:vertAlign w:val="superscript"/>
          <w:lang w:val="es-ES" w:eastAsia="es-ES"/>
        </w:rPr>
        <w:t>28</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Las </w:t>
      </w:r>
      <w:r>
        <w:rPr>
          <w:rFonts w:ascii="Arial" w:cs="Arial" w:hAnsi="Arial"/>
          <w:sz w:val="24"/>
          <w:szCs w:val="24"/>
          <w:lang w:val="es-ES" w:eastAsia="es-ES"/>
        </w:rPr>
        <w:t xml:space="preserve">exacerbaciones y comorbilidades </w:t>
      </w:r>
      <w:r>
        <w:rPr>
          <w:rFonts w:ascii="Arial" w:cs="Arial" w:hAnsi="Arial"/>
          <w:sz w:val="24"/>
          <w:szCs w:val="24"/>
          <w:lang w:val="es-ES" w:eastAsia="es-ES"/>
        </w:rPr>
        <w:t>que presenta cada paciente influyen en el pronóstico de la enfermedad</w:t>
      </w:r>
      <w:r>
        <w:rPr>
          <w:rFonts w:ascii="Arial" w:cs="Arial" w:hAnsi="Arial"/>
          <w:sz w:val="24"/>
          <w:szCs w:val="24"/>
          <w:lang w:val="es-ES" w:eastAsia="es-ES"/>
        </w:rPr>
        <w:t xml:space="preserve">, donde </w:t>
      </w:r>
      <w:r>
        <w:rPr>
          <w:rFonts w:ascii="Arial" w:cs="Arial" w:hAnsi="Arial"/>
          <w:sz w:val="24"/>
          <w:szCs w:val="24"/>
          <w:lang w:val="es-ES" w:eastAsia="es-ES"/>
        </w:rPr>
        <w:t>sobresalen</w:t>
      </w:r>
      <w:r>
        <w:rPr>
          <w:rFonts w:ascii="Arial" w:cs="Arial" w:hAnsi="Arial"/>
          <w:sz w:val="24"/>
          <w:szCs w:val="24"/>
          <w:lang w:val="es-ES" w:eastAsia="es-ES"/>
        </w:rPr>
        <w:t xml:space="preserve"> las neumonías</w:t>
      </w:r>
      <w:r>
        <w:rPr>
          <w:rFonts w:ascii="Arial" w:cs="Arial" w:hAnsi="Arial"/>
          <w:sz w:val="24"/>
          <w:szCs w:val="24"/>
          <w:lang w:val="es-ES" w:eastAsia="es-ES"/>
        </w:rPr>
        <w:t>.</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Las </w:t>
      </w:r>
      <w:r>
        <w:rPr>
          <w:rFonts w:ascii="Arial" w:cs="Arial" w:hAnsi="Arial"/>
          <w:sz w:val="24"/>
          <w:szCs w:val="24"/>
          <w:lang w:val="es-ES" w:eastAsia="es-ES"/>
        </w:rPr>
        <w:t>agudizaciones son un aconte</w:t>
      </w:r>
      <w:r>
        <w:rPr>
          <w:rFonts w:ascii="Arial" w:cs="Arial" w:hAnsi="Arial"/>
          <w:sz w:val="24"/>
          <w:szCs w:val="24"/>
          <w:lang w:val="es-ES" w:eastAsia="es-ES"/>
        </w:rPr>
        <w:t xml:space="preserve">cimiento frecuente en la historia </w:t>
      </w:r>
      <w:r>
        <w:rPr>
          <w:rFonts w:ascii="Arial" w:cs="Arial" w:hAnsi="Arial"/>
          <w:sz w:val="24"/>
          <w:szCs w:val="24"/>
          <w:lang w:val="es-ES" w:eastAsia="es-ES"/>
        </w:rPr>
        <w:t xml:space="preserve">natural de los pacientes con </w:t>
      </w:r>
      <w:r>
        <w:rPr>
          <w:rFonts w:ascii="Arial" w:cs="Arial" w:hAnsi="Arial"/>
          <w:sz w:val="24"/>
          <w:szCs w:val="24"/>
          <w:lang w:val="es-ES" w:eastAsia="es-ES"/>
        </w:rPr>
        <w:t>EPOC</w:t>
      </w:r>
      <w:r>
        <w:rPr>
          <w:rFonts w:ascii="Arial" w:cs="Arial" w:hAnsi="Arial"/>
          <w:sz w:val="24"/>
          <w:szCs w:val="24"/>
          <w:lang w:val="es-ES" w:eastAsia="es-ES"/>
        </w:rPr>
        <w:t>. Además, se ha d</w:t>
      </w:r>
      <w:r>
        <w:rPr>
          <w:rFonts w:ascii="Arial" w:cs="Arial" w:hAnsi="Arial"/>
          <w:sz w:val="24"/>
          <w:szCs w:val="24"/>
          <w:lang w:val="es-ES" w:eastAsia="es-ES"/>
        </w:rPr>
        <w:t xml:space="preserve">emostrado </w:t>
      </w:r>
      <w:r>
        <w:rPr>
          <w:rFonts w:ascii="Arial" w:cs="Arial" w:hAnsi="Arial"/>
          <w:sz w:val="24"/>
          <w:szCs w:val="24"/>
          <w:lang w:val="es-ES" w:eastAsia="es-ES"/>
        </w:rPr>
        <w:t xml:space="preserve">que en estos </w:t>
      </w:r>
      <w:r>
        <w:rPr>
          <w:rFonts w:ascii="Arial" w:cs="Arial" w:hAnsi="Arial"/>
          <w:sz w:val="24"/>
          <w:szCs w:val="24"/>
          <w:lang w:val="es-ES" w:eastAsia="es-ES"/>
        </w:rPr>
        <w:t xml:space="preserve">pacientes </w:t>
      </w:r>
      <w:r>
        <w:rPr>
          <w:rFonts w:ascii="Arial" w:cs="Arial" w:hAnsi="Arial"/>
          <w:sz w:val="24"/>
          <w:szCs w:val="24"/>
          <w:lang w:val="es-ES" w:eastAsia="es-ES"/>
        </w:rPr>
        <w:t>presentan una mayor incide</w:t>
      </w:r>
      <w:r>
        <w:rPr>
          <w:rFonts w:ascii="Arial" w:cs="Arial" w:hAnsi="Arial"/>
          <w:sz w:val="24"/>
          <w:szCs w:val="24"/>
          <w:lang w:val="es-ES" w:eastAsia="es-ES"/>
        </w:rPr>
        <w:t>ncia a precisar un ingreso hos</w:t>
      </w:r>
      <w:r>
        <w:rPr>
          <w:rFonts w:ascii="Arial" w:cs="Arial" w:hAnsi="Arial"/>
          <w:sz w:val="24"/>
          <w:szCs w:val="24"/>
          <w:lang w:val="es-ES" w:eastAsia="es-ES"/>
        </w:rPr>
        <w:t>pitalario por una infección respirat</w:t>
      </w:r>
      <w:r>
        <w:rPr>
          <w:rFonts w:ascii="Arial" w:cs="Arial" w:hAnsi="Arial"/>
          <w:sz w:val="24"/>
          <w:szCs w:val="24"/>
          <w:lang w:val="es-ES" w:eastAsia="es-ES"/>
        </w:rPr>
        <w:t>oria, y que esta aumenta con la gravedad de la enfermedad</w:t>
      </w:r>
      <w:r>
        <w:rPr>
          <w:rFonts w:ascii="Arial" w:cs="Arial" w:hAnsi="Arial"/>
          <w:sz w:val="24"/>
          <w:szCs w:val="24"/>
          <w:lang w:val="es-ES" w:eastAsia="es-ES"/>
        </w:rPr>
        <w:t>. La infec</w:t>
      </w:r>
      <w:r>
        <w:rPr>
          <w:rFonts w:ascii="Arial" w:cs="Arial" w:hAnsi="Arial"/>
          <w:sz w:val="24"/>
          <w:szCs w:val="24"/>
          <w:lang w:val="es-ES" w:eastAsia="es-ES"/>
        </w:rPr>
        <w:t>ción respiratoria de vías bajas</w:t>
      </w:r>
      <w:r>
        <w:rPr>
          <w:rFonts w:ascii="Arial" w:cs="Arial" w:hAnsi="Arial"/>
          <w:sz w:val="24"/>
          <w:szCs w:val="24"/>
          <w:lang w:val="es-ES" w:eastAsia="es-ES"/>
        </w:rPr>
        <w:t xml:space="preserve"> es una de las causas de d</w:t>
      </w:r>
      <w:r>
        <w:rPr>
          <w:rFonts w:ascii="Arial" w:cs="Arial" w:hAnsi="Arial"/>
          <w:sz w:val="24"/>
          <w:szCs w:val="24"/>
          <w:lang w:val="es-ES" w:eastAsia="es-ES"/>
        </w:rPr>
        <w:t xml:space="preserve">escompensación más frecuente en la </w:t>
      </w:r>
      <w:r>
        <w:rPr>
          <w:rFonts w:ascii="Arial" w:cs="Arial" w:hAnsi="Arial"/>
          <w:sz w:val="24"/>
          <w:szCs w:val="24"/>
          <w:lang w:val="es-ES" w:eastAsia="es-ES"/>
        </w:rPr>
        <w:t>EPOC en los pacientes que requier</w:t>
      </w:r>
      <w:r>
        <w:rPr>
          <w:rFonts w:ascii="Arial" w:cs="Arial" w:hAnsi="Arial"/>
          <w:sz w:val="24"/>
          <w:szCs w:val="24"/>
          <w:lang w:val="es-ES" w:eastAsia="es-ES"/>
        </w:rPr>
        <w:t>en ingreso hospitalario, repre</w:t>
      </w:r>
      <w:r>
        <w:rPr>
          <w:rFonts w:ascii="Arial" w:cs="Arial" w:hAnsi="Arial"/>
          <w:sz w:val="24"/>
          <w:szCs w:val="24"/>
          <w:lang w:val="es-ES" w:eastAsia="es-ES"/>
        </w:rPr>
        <w:t>sentando el 51-70% de las agu</w:t>
      </w:r>
      <w:r>
        <w:rPr>
          <w:rFonts w:ascii="Arial" w:cs="Arial" w:hAnsi="Arial"/>
          <w:sz w:val="24"/>
          <w:szCs w:val="24"/>
          <w:lang w:val="es-ES" w:eastAsia="es-ES"/>
        </w:rPr>
        <w:t>dizaciones de esta enfermedad</w:t>
      </w:r>
      <w:r>
        <w:rPr>
          <w:rFonts w:ascii="Arial" w:cs="Arial" w:hAnsi="Arial"/>
          <w:sz w:val="24"/>
          <w:szCs w:val="24"/>
          <w:vertAlign w:val="superscript"/>
          <w:lang w:val="es-ES" w:eastAsia="es-ES"/>
        </w:rPr>
        <w:t>3032</w:t>
      </w:r>
      <w:r>
        <w:rPr>
          <w:rFonts w:ascii="Arial" w:cs="Arial" w:hAnsi="Arial"/>
          <w:sz w:val="24"/>
          <w:szCs w:val="24"/>
          <w:lang w:val="es-ES" w:eastAsia="es-ES"/>
        </w:rPr>
        <w:t>.</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De hecho, l</w:t>
      </w:r>
      <w:r>
        <w:rPr>
          <w:rFonts w:ascii="Arial" w:cs="Arial" w:hAnsi="Arial"/>
          <w:sz w:val="24"/>
          <w:szCs w:val="24"/>
          <w:lang w:val="es-ES" w:eastAsia="es-ES"/>
        </w:rPr>
        <w:t xml:space="preserve">a agudización de la EPOC y la </w:t>
      </w:r>
      <w:r>
        <w:rPr>
          <w:rFonts w:ascii="Arial" w:cs="Arial" w:hAnsi="Arial"/>
          <w:sz w:val="24"/>
          <w:szCs w:val="24"/>
          <w:lang w:val="es-ES" w:eastAsia="es-ES"/>
        </w:rPr>
        <w:t>NAC</w:t>
      </w:r>
      <w:r>
        <w:rPr>
          <w:rFonts w:ascii="Arial" w:cs="Arial" w:hAnsi="Arial"/>
          <w:sz w:val="24"/>
          <w:szCs w:val="24"/>
          <w:lang w:val="es-ES" w:eastAsia="es-ES"/>
        </w:rPr>
        <w:t xml:space="preserve"> son enfermedades respiratorias frecuente</w:t>
      </w:r>
      <w:r>
        <w:rPr>
          <w:rFonts w:ascii="Arial" w:cs="Arial" w:hAnsi="Arial"/>
          <w:sz w:val="24"/>
          <w:szCs w:val="24"/>
          <w:lang w:val="es-ES" w:eastAsia="es-ES"/>
        </w:rPr>
        <w:t>mente asociadas</w:t>
      </w:r>
      <w:r>
        <w:rPr>
          <w:rFonts w:ascii="Arial" w:cs="Arial" w:hAnsi="Arial"/>
          <w:sz w:val="24"/>
          <w:szCs w:val="24"/>
          <w:lang w:val="es-ES" w:eastAsia="es-ES"/>
        </w:rPr>
        <w:t xml:space="preserve"> </w:t>
      </w:r>
      <w:r>
        <w:rPr>
          <w:rFonts w:ascii="Arial" w:cs="Arial" w:hAnsi="Arial"/>
          <w:sz w:val="24"/>
          <w:szCs w:val="24"/>
          <w:lang w:val="es-ES" w:eastAsia="es-ES"/>
        </w:rPr>
        <w:t>y</w:t>
      </w:r>
      <w:r>
        <w:rPr>
          <w:rFonts w:ascii="Arial" w:cs="Arial" w:hAnsi="Arial"/>
          <w:sz w:val="24"/>
          <w:szCs w:val="24"/>
          <w:lang w:val="es-ES" w:eastAsia="es-ES"/>
        </w:rPr>
        <w:t xml:space="preserve"> contribuyen a la hospitalización y </w:t>
      </w:r>
      <w:r>
        <w:rPr>
          <w:rFonts w:ascii="Arial" w:cs="Arial" w:hAnsi="Arial"/>
          <w:sz w:val="24"/>
          <w:szCs w:val="24"/>
          <w:lang w:val="es-ES" w:eastAsia="es-ES"/>
        </w:rPr>
        <w:t>al incremento</w:t>
      </w:r>
      <w:r>
        <w:rPr>
          <w:rFonts w:ascii="Arial" w:cs="Arial" w:hAnsi="Arial"/>
          <w:sz w:val="24"/>
          <w:szCs w:val="24"/>
          <w:lang w:val="es-ES" w:eastAsia="es-ES"/>
        </w:rPr>
        <w:t xml:space="preserve"> </w:t>
      </w:r>
      <w:r>
        <w:rPr>
          <w:rFonts w:ascii="Arial" w:cs="Arial" w:hAnsi="Arial"/>
          <w:sz w:val="24"/>
          <w:szCs w:val="24"/>
          <w:lang w:val="es-ES" w:eastAsia="es-ES"/>
        </w:rPr>
        <w:t xml:space="preserve">de </w:t>
      </w:r>
      <w:r>
        <w:rPr>
          <w:rFonts w:ascii="Arial" w:cs="Arial" w:hAnsi="Arial"/>
          <w:sz w:val="24"/>
          <w:szCs w:val="24"/>
          <w:lang w:val="es-ES" w:eastAsia="es-ES"/>
        </w:rPr>
        <w:t>la mortalidad de los pacientes afectados</w:t>
      </w:r>
      <w:r>
        <w:rPr>
          <w:rFonts w:ascii="Arial" w:cs="Arial" w:hAnsi="Arial"/>
          <w:sz w:val="24"/>
          <w:szCs w:val="24"/>
          <w:lang w:val="es-ES" w:eastAsia="es-ES"/>
        </w:rPr>
        <w:t xml:space="preserve"> </w:t>
      </w:r>
      <w:r>
        <w:rPr>
          <w:rFonts w:ascii="Arial" w:cs="Arial" w:hAnsi="Arial"/>
          <w:sz w:val="24"/>
          <w:szCs w:val="24"/>
          <w:vertAlign w:val="superscript"/>
          <w:lang w:val="es-ES" w:eastAsia="es-ES"/>
        </w:rPr>
        <w:t>3</w:t>
      </w:r>
      <w:r>
        <w:rPr>
          <w:rFonts w:ascii="Arial" w:cs="Arial" w:hAnsi="Arial"/>
          <w:sz w:val="24"/>
          <w:szCs w:val="24"/>
          <w:vertAlign w:val="superscript"/>
          <w:lang w:val="es-ES" w:eastAsia="es-ES"/>
        </w:rPr>
        <w:t>0-3</w:t>
      </w:r>
      <w:r>
        <w:rPr>
          <w:rFonts w:ascii="Arial" w:cs="Arial" w:hAnsi="Arial"/>
          <w:sz w:val="24"/>
          <w:szCs w:val="24"/>
          <w:vertAlign w:val="superscript"/>
          <w:lang w:val="es-ES" w:eastAsia="es-ES"/>
        </w:rPr>
        <w:t>2</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Existe un intenso debate para aclarar si la coexistencia de las 2 entidades puede contribuir a aumentar la mortalidad. Los estudios publicados hasta el momento presentan resultados no consistentes respecto a la mortalidad, probablemente debido a la heterogeneidad de los estudios realizados.</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Al </w:t>
      </w:r>
      <w:r>
        <w:rPr>
          <w:rFonts w:ascii="Arial" w:cs="Arial" w:hAnsi="Arial"/>
          <w:sz w:val="24"/>
          <w:szCs w:val="24"/>
          <w:lang w:val="es-ES" w:eastAsia="es-ES"/>
        </w:rPr>
        <w:t>mismo tiempo, la EPOC es una</w:t>
      </w:r>
      <w:r>
        <w:rPr>
          <w:rFonts w:ascii="Arial" w:cs="Arial" w:hAnsi="Arial"/>
          <w:sz w:val="24"/>
          <w:szCs w:val="24"/>
          <w:lang w:val="es-ES" w:eastAsia="es-ES"/>
        </w:rPr>
        <w:t xml:space="preserve"> de las comorbilidades más fre</w:t>
      </w:r>
      <w:r>
        <w:rPr>
          <w:rFonts w:ascii="Arial" w:cs="Arial" w:hAnsi="Arial"/>
          <w:sz w:val="24"/>
          <w:szCs w:val="24"/>
          <w:lang w:val="es-ES" w:eastAsia="es-ES"/>
        </w:rPr>
        <w:t xml:space="preserve">cuentes </w:t>
      </w:r>
      <w:r>
        <w:rPr>
          <w:rFonts w:ascii="Arial" w:cs="Arial" w:hAnsi="Arial"/>
          <w:sz w:val="24"/>
          <w:szCs w:val="24"/>
          <w:lang w:val="es-ES" w:eastAsia="es-ES"/>
        </w:rPr>
        <w:t>en pacientes con NAC, según el reporte</w:t>
      </w:r>
      <w:r>
        <w:rPr>
          <w:rFonts w:ascii="Arial" w:cs="Arial" w:hAnsi="Arial"/>
          <w:sz w:val="24"/>
          <w:szCs w:val="24"/>
          <w:lang w:val="es-ES" w:eastAsia="es-ES"/>
        </w:rPr>
        <w:t xml:space="preserve"> </w:t>
      </w:r>
      <w:r>
        <w:rPr>
          <w:rFonts w:ascii="Arial" w:cs="Arial" w:hAnsi="Arial"/>
          <w:sz w:val="24"/>
          <w:szCs w:val="24"/>
          <w:lang w:val="es-ES" w:eastAsia="es-ES"/>
        </w:rPr>
        <w:t xml:space="preserve">de </w:t>
      </w:r>
      <w:r>
        <w:rPr>
          <w:rFonts w:ascii="Arial" w:cs="Arial" w:hAnsi="Arial"/>
          <w:sz w:val="24"/>
          <w:szCs w:val="24"/>
          <w:lang w:val="es-ES" w:eastAsia="es-ES"/>
        </w:rPr>
        <w:t>la may</w:t>
      </w:r>
      <w:r>
        <w:rPr>
          <w:rFonts w:ascii="Arial" w:cs="Arial" w:hAnsi="Arial"/>
          <w:sz w:val="24"/>
          <w:szCs w:val="24"/>
          <w:lang w:val="es-ES" w:eastAsia="es-ES"/>
        </w:rPr>
        <w:t xml:space="preserve">oría de </w:t>
      </w:r>
      <w:r>
        <w:rPr>
          <w:rFonts w:ascii="Arial" w:cs="Arial" w:hAnsi="Arial"/>
          <w:sz w:val="24"/>
          <w:szCs w:val="24"/>
          <w:lang w:val="es-ES" w:eastAsia="es-ES"/>
        </w:rPr>
        <w:t>las investigaciones en este campo</w:t>
      </w:r>
      <w:r>
        <w:rPr>
          <w:rFonts w:ascii="Arial" w:cs="Arial" w:hAnsi="Arial"/>
          <w:sz w:val="24"/>
          <w:szCs w:val="24"/>
          <w:lang w:val="es-ES" w:eastAsia="es-ES"/>
        </w:rPr>
        <w:t xml:space="preserve">, presentándose en </w:t>
      </w:r>
      <w:r>
        <w:rPr>
          <w:rFonts w:ascii="Arial" w:cs="Arial" w:hAnsi="Arial"/>
          <w:sz w:val="24"/>
          <w:szCs w:val="24"/>
          <w:lang w:val="es-ES" w:eastAsia="es-ES"/>
        </w:rPr>
        <w:t>el 30% de los pacientes que r</w:t>
      </w:r>
      <w:r>
        <w:rPr>
          <w:rFonts w:ascii="Arial" w:cs="Arial" w:hAnsi="Arial"/>
          <w:sz w:val="24"/>
          <w:szCs w:val="24"/>
          <w:lang w:val="es-ES" w:eastAsia="es-ES"/>
        </w:rPr>
        <w:t xml:space="preserve">equieren ingreso hospitalario, y hasta </w:t>
      </w:r>
      <w:r>
        <w:rPr>
          <w:rFonts w:ascii="Arial" w:cs="Arial" w:hAnsi="Arial"/>
          <w:sz w:val="24"/>
          <w:szCs w:val="24"/>
          <w:lang w:val="es-ES" w:eastAsia="es-ES"/>
        </w:rPr>
        <w:t>el 50% en las neumonías gra</w:t>
      </w:r>
      <w:r>
        <w:rPr>
          <w:rFonts w:ascii="Arial" w:cs="Arial" w:hAnsi="Arial"/>
          <w:sz w:val="24"/>
          <w:szCs w:val="24"/>
          <w:lang w:val="es-ES" w:eastAsia="es-ES"/>
        </w:rPr>
        <w:t xml:space="preserve">ves que precisan ingreso en una </w:t>
      </w:r>
      <w:r>
        <w:rPr>
          <w:rFonts w:ascii="Arial" w:cs="Arial" w:hAnsi="Arial"/>
          <w:sz w:val="24"/>
          <w:szCs w:val="24"/>
          <w:lang w:val="es-ES" w:eastAsia="es-ES"/>
        </w:rPr>
        <w:t>unidad</w:t>
      </w:r>
      <w:r>
        <w:rPr>
          <w:rFonts w:ascii="Arial" w:cs="Arial" w:hAnsi="Arial"/>
          <w:sz w:val="24"/>
          <w:szCs w:val="24"/>
          <w:lang w:val="es-ES" w:eastAsia="es-ES"/>
        </w:rPr>
        <w:t xml:space="preserve"> de cuidados intensivos. </w:t>
      </w:r>
      <w:r>
        <w:rPr>
          <w:rFonts w:ascii="Arial" w:cs="Arial" w:hAnsi="Arial"/>
          <w:sz w:val="24"/>
          <w:szCs w:val="24"/>
          <w:lang w:val="es-ES" w:eastAsia="es-ES"/>
        </w:rPr>
        <w:t xml:space="preserve">Igualmente, los pacientes con EPOC </w:t>
      </w:r>
      <w:r>
        <w:rPr>
          <w:rFonts w:ascii="Arial" w:cs="Arial" w:hAnsi="Arial"/>
          <w:sz w:val="24"/>
          <w:szCs w:val="24"/>
          <w:lang w:val="es-ES" w:eastAsia="es-ES"/>
        </w:rPr>
        <w:t>tienen una incidencia de neumo</w:t>
      </w:r>
      <w:r>
        <w:rPr>
          <w:rFonts w:ascii="Arial" w:cs="Arial" w:hAnsi="Arial"/>
          <w:sz w:val="24"/>
          <w:szCs w:val="24"/>
          <w:lang w:val="es-ES" w:eastAsia="es-ES"/>
        </w:rPr>
        <w:t xml:space="preserve">nía de casi el doble respecto a </w:t>
      </w:r>
      <w:r>
        <w:rPr>
          <w:rFonts w:ascii="Arial" w:cs="Arial" w:hAnsi="Arial"/>
          <w:sz w:val="24"/>
          <w:szCs w:val="24"/>
          <w:lang w:val="es-ES" w:eastAsia="es-ES"/>
        </w:rPr>
        <w:t>la población general, siendo mayor c</w:t>
      </w:r>
      <w:r>
        <w:rPr>
          <w:rFonts w:ascii="Arial" w:cs="Arial" w:hAnsi="Arial"/>
          <w:sz w:val="24"/>
          <w:szCs w:val="24"/>
          <w:lang w:val="es-ES" w:eastAsia="es-ES"/>
        </w:rPr>
        <w:t>uanto mayor es la obstrucción</w:t>
      </w:r>
      <w:r>
        <w:rPr>
          <w:rFonts w:ascii="Arial" w:cs="Arial" w:hAnsi="Arial"/>
          <w:sz w:val="24"/>
          <w:szCs w:val="24"/>
          <w:vertAlign w:val="superscript"/>
          <w:lang w:val="es-ES" w:eastAsia="es-ES"/>
        </w:rPr>
        <w:t>18-20, 30,32</w:t>
      </w:r>
      <w:r>
        <w:rPr>
          <w:rFonts w:ascii="Arial" w:cs="Arial" w:hAnsi="Arial"/>
          <w:sz w:val="24"/>
          <w:szCs w:val="24"/>
          <w:lang w:val="es-ES" w:eastAsia="es-ES"/>
        </w:rPr>
        <w:t>.</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E</w:t>
      </w:r>
      <w:r>
        <w:rPr>
          <w:rFonts w:ascii="Arial" w:cs="Arial" w:hAnsi="Arial"/>
          <w:sz w:val="24"/>
          <w:szCs w:val="24"/>
          <w:lang w:val="es-ES" w:eastAsia="es-ES"/>
        </w:rPr>
        <w:t>xiste</w:t>
      </w:r>
      <w:r>
        <w:rPr>
          <w:rFonts w:ascii="Arial" w:cs="Arial" w:hAnsi="Arial"/>
          <w:sz w:val="24"/>
          <w:szCs w:val="24"/>
          <w:lang w:val="es-ES" w:eastAsia="es-ES"/>
        </w:rPr>
        <w:t>n</w:t>
      </w:r>
      <w:r>
        <w:rPr>
          <w:rFonts w:ascii="Arial" w:cs="Arial" w:hAnsi="Arial"/>
          <w:sz w:val="24"/>
          <w:szCs w:val="24"/>
          <w:lang w:val="es-ES" w:eastAsia="es-ES"/>
        </w:rPr>
        <w:t xml:space="preserve"> un grupo de factores </w:t>
      </w:r>
      <w:r>
        <w:rPr>
          <w:rFonts w:ascii="Arial" w:cs="Arial" w:hAnsi="Arial"/>
          <w:sz w:val="24"/>
          <w:szCs w:val="24"/>
          <w:lang w:val="es-ES" w:eastAsia="es-ES"/>
        </w:rPr>
        <w:t>que hipotéticamente pueden incrementar</w:t>
      </w:r>
      <w:r>
        <w:rPr>
          <w:rFonts w:ascii="Arial" w:cs="Arial" w:hAnsi="Arial"/>
          <w:sz w:val="24"/>
          <w:szCs w:val="24"/>
          <w:lang w:val="es-ES" w:eastAsia="es-ES"/>
        </w:rPr>
        <w:t xml:space="preserve"> el ries</w:t>
      </w:r>
      <w:r>
        <w:rPr>
          <w:rFonts w:ascii="Arial" w:cs="Arial" w:hAnsi="Arial"/>
          <w:sz w:val="24"/>
          <w:szCs w:val="24"/>
          <w:lang w:val="es-ES" w:eastAsia="es-ES"/>
        </w:rPr>
        <w:t xml:space="preserve">go de morir en estos pacientes, por lo que </w:t>
      </w:r>
      <w:r>
        <w:rPr>
          <w:rFonts w:ascii="Arial" w:cs="Arial" w:hAnsi="Arial"/>
          <w:sz w:val="24"/>
          <w:szCs w:val="24"/>
        </w:rPr>
        <w:t>ante esta situación, cobra interés el conocimiento de los factores que, además del tratamiento, pueden asociarse con una evolución desfavorable de los enfermos y que permitan crear índices pronósticos de muerte</w:t>
      </w:r>
      <w:r>
        <w:rPr>
          <w:rFonts w:ascii="Arial" w:cs="Arial" w:hAnsi="Arial"/>
          <w:sz w:val="24"/>
          <w:szCs w:val="24"/>
          <w:vertAlign w:val="superscript"/>
        </w:rPr>
        <w:t>1-6</w:t>
      </w:r>
      <w:r>
        <w:rPr>
          <w:rFonts w:ascii="Arial" w:cs="Arial" w:hAnsi="Arial"/>
        </w:rPr>
        <w:t xml:space="preserve">. </w:t>
      </w:r>
    </w:p>
    <w:p>
      <w:pPr>
        <w:pStyle w:val="style4097"/>
        <w:spacing w:lineRule="auto" w:line="360"/>
        <w:jc w:val="both"/>
        <w:rPr>
          <w:rFonts w:ascii="Arial" w:cs="Arial" w:hAnsi="Arial"/>
        </w:rPr>
      </w:pPr>
      <w:r>
        <w:rPr>
          <w:rFonts w:ascii="Arial" w:cs="Arial" w:hAnsi="Arial"/>
        </w:rPr>
        <w:t>Entre estos factores sobresalen: una serie de cambios fisiológicos, asociados al  envejecimiento, en el aparato respiratorio e inmunitario, junto con la mayor probabilidad de situaciones clínicas, sociales y de enfermedades crónicas que van siendo acumulativas con la edad, lo cual convierten al anciano en un sujeto más vulnerable al desarrollo de infecciones, más específicamente de la neumonía, así como de riesgo incrementado de un peor resultado de las misma</w:t>
      </w:r>
      <w:r>
        <w:rPr>
          <w:rFonts w:ascii="Arial" w:cs="Arial" w:hAnsi="Arial"/>
          <w:vertAlign w:val="superscript"/>
        </w:rPr>
        <w:t>21-33</w:t>
      </w:r>
      <w:r>
        <w:rPr>
          <w:rFonts w:ascii="Arial" w:cs="Arial" w:hAnsi="Arial"/>
        </w:rPr>
        <w:t>.</w:t>
      </w:r>
    </w:p>
    <w:p>
      <w:pPr>
        <w:pStyle w:val="style0"/>
        <w:autoSpaceDE w:val="false"/>
        <w:autoSpaceDN w:val="false"/>
        <w:adjustRightInd w:val="false"/>
        <w:spacing w:after="0" w:lineRule="auto" w:line="360"/>
        <w:jc w:val="both"/>
        <w:rPr>
          <w:rFonts w:ascii="Arial" w:cs="Arial" w:hAnsi="Arial"/>
          <w:sz w:val="24"/>
          <w:szCs w:val="24"/>
          <w:vertAlign w:val="superscript"/>
          <w:lang w:val="es-ES" w:eastAsia="es-ES"/>
        </w:rPr>
      </w:pPr>
      <w:r>
        <w:rPr>
          <w:rFonts w:ascii="Arial" w:cs="Arial" w:hAnsi="Arial"/>
          <w:sz w:val="24"/>
          <w:szCs w:val="24"/>
          <w:lang w:val="es-ES" w:eastAsia="es-ES"/>
        </w:rPr>
        <w:t>Otros factores contribuyentes se citan al estado nutricional del individuo, las comorbilidades asociadas, así como factores propios de la neumonía como lesiones de más de un lóbulo, el derrame pleural asociado, el grado de hipoxia que provoca la misma entre otros factores</w:t>
      </w:r>
      <w:r>
        <w:rPr>
          <w:rFonts w:ascii="Arial" w:cs="Arial" w:hAnsi="Arial"/>
          <w:sz w:val="24"/>
          <w:szCs w:val="24"/>
          <w:vertAlign w:val="superscript"/>
          <w:lang w:val="es-ES" w:eastAsia="es-ES"/>
        </w:rPr>
        <w:t>33</w:t>
      </w:r>
      <w:r>
        <w:rPr>
          <w:rFonts w:ascii="Arial" w:cs="Arial" w:hAnsi="Arial"/>
          <w:sz w:val="24"/>
          <w:szCs w:val="24"/>
          <w:lang w:val="es-ES" w:eastAsia="es-ES"/>
        </w:rPr>
        <w:t>.</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Todo </w:t>
      </w:r>
      <w:r>
        <w:rPr>
          <w:rFonts w:ascii="Arial" w:cs="Arial" w:hAnsi="Arial"/>
          <w:sz w:val="24"/>
          <w:szCs w:val="24"/>
          <w:lang w:val="es-ES" w:eastAsia="es-ES"/>
        </w:rPr>
        <w:t xml:space="preserve">lo anterior expuesto </w:t>
      </w:r>
      <w:r>
        <w:rPr>
          <w:rFonts w:ascii="Arial" w:cs="Arial" w:hAnsi="Arial"/>
          <w:sz w:val="24"/>
          <w:szCs w:val="24"/>
          <w:lang w:val="es-ES" w:eastAsia="es-ES"/>
        </w:rPr>
        <w:t xml:space="preserve">sugiere la tarea de realizar investigaciones con el propósito de identificar </w:t>
      </w:r>
      <w:r>
        <w:rPr>
          <w:rFonts w:ascii="Arial" w:cs="Arial" w:hAnsi="Arial"/>
          <w:sz w:val="24"/>
          <w:szCs w:val="24"/>
          <w:lang w:val="es-ES" w:eastAsia="es-ES"/>
        </w:rPr>
        <w:t xml:space="preserve">los factores que incrementan el riesgo de morir </w:t>
      </w:r>
      <w:r>
        <w:rPr>
          <w:rFonts w:ascii="Arial" w:cs="Arial" w:hAnsi="Arial"/>
          <w:sz w:val="24"/>
          <w:szCs w:val="24"/>
          <w:lang w:val="es-ES" w:eastAsia="es-ES"/>
        </w:rPr>
        <w:t xml:space="preserve">por </w:t>
      </w:r>
      <w:r>
        <w:rPr>
          <w:rFonts w:ascii="Arial" w:cs="Arial" w:hAnsi="Arial"/>
          <w:sz w:val="24"/>
          <w:szCs w:val="24"/>
          <w:lang w:val="es-ES" w:eastAsia="es-ES"/>
        </w:rPr>
        <w:t xml:space="preserve">la combinación de </w:t>
      </w:r>
      <w:r>
        <w:rPr>
          <w:rFonts w:ascii="Arial" w:cs="Arial" w:hAnsi="Arial"/>
          <w:sz w:val="24"/>
          <w:szCs w:val="24"/>
          <w:lang w:val="es-ES" w:eastAsia="es-ES"/>
        </w:rPr>
        <w:t>esta</w:t>
      </w:r>
      <w:r>
        <w:rPr>
          <w:rFonts w:ascii="Arial" w:cs="Arial" w:hAnsi="Arial"/>
          <w:sz w:val="24"/>
          <w:szCs w:val="24"/>
          <w:lang w:val="es-ES" w:eastAsia="es-ES"/>
        </w:rPr>
        <w:t>s</w:t>
      </w:r>
      <w:r>
        <w:rPr>
          <w:rFonts w:ascii="Arial" w:cs="Arial" w:hAnsi="Arial"/>
          <w:sz w:val="24"/>
          <w:szCs w:val="24"/>
          <w:lang w:val="es-ES" w:eastAsia="es-ES"/>
        </w:rPr>
        <w:t xml:space="preserve"> </w:t>
      </w:r>
      <w:r>
        <w:rPr>
          <w:rFonts w:ascii="Arial" w:cs="Arial" w:hAnsi="Arial"/>
          <w:sz w:val="24"/>
          <w:szCs w:val="24"/>
          <w:lang w:val="es-ES" w:eastAsia="es-ES"/>
        </w:rPr>
        <w:t xml:space="preserve">dos </w:t>
      </w:r>
      <w:r>
        <w:rPr>
          <w:rFonts w:ascii="Arial" w:cs="Arial" w:hAnsi="Arial"/>
          <w:sz w:val="24"/>
          <w:szCs w:val="24"/>
          <w:lang w:val="es-ES" w:eastAsia="es-ES"/>
        </w:rPr>
        <w:t>enfermedad</w:t>
      </w:r>
      <w:r>
        <w:rPr>
          <w:rFonts w:ascii="Arial" w:cs="Arial" w:hAnsi="Arial"/>
          <w:sz w:val="24"/>
          <w:szCs w:val="24"/>
          <w:lang w:val="es-ES" w:eastAsia="es-ES"/>
        </w:rPr>
        <w:t>es.</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Para dar solución a </w:t>
      </w:r>
      <w:r>
        <w:rPr>
          <w:rFonts w:ascii="Arial" w:cs="Arial" w:hAnsi="Arial"/>
          <w:sz w:val="24"/>
          <w:szCs w:val="24"/>
          <w:lang w:val="es-ES" w:eastAsia="es-ES"/>
        </w:rPr>
        <w:t>la</w:t>
      </w:r>
      <w:r>
        <w:rPr>
          <w:rFonts w:ascii="Arial" w:cs="Arial" w:hAnsi="Arial"/>
          <w:sz w:val="24"/>
          <w:szCs w:val="24"/>
          <w:lang w:val="es-ES" w:eastAsia="es-ES"/>
        </w:rPr>
        <w:t xml:space="preserve"> problemática, y como coady</w:t>
      </w:r>
      <w:r>
        <w:rPr>
          <w:rFonts w:ascii="Arial" w:cs="Arial" w:hAnsi="Arial"/>
          <w:sz w:val="24"/>
          <w:szCs w:val="24"/>
          <w:lang w:val="es-ES" w:eastAsia="es-ES"/>
        </w:rPr>
        <w:t>uvante al juicio clínico, se ha</w:t>
      </w:r>
      <w:r>
        <w:rPr>
          <w:rFonts w:ascii="Arial" w:cs="Arial" w:hAnsi="Arial"/>
          <w:sz w:val="24"/>
          <w:szCs w:val="24"/>
          <w:lang w:val="es-ES" w:eastAsia="es-ES"/>
        </w:rPr>
        <w:t xml:space="preserve"> desarrollado en los </w:t>
      </w:r>
      <w:r>
        <w:rPr>
          <w:rFonts w:ascii="Arial" w:cs="Arial" w:hAnsi="Arial"/>
          <w:sz w:val="24"/>
          <w:szCs w:val="24"/>
          <w:lang w:val="es-ES" w:eastAsia="es-ES"/>
        </w:rPr>
        <w:t>últimos años escalas pronosticas</w:t>
      </w:r>
      <w:r>
        <w:rPr>
          <w:rFonts w:ascii="Arial" w:cs="Arial" w:hAnsi="Arial"/>
          <w:sz w:val="24"/>
          <w:szCs w:val="24"/>
          <w:lang w:val="es-ES" w:eastAsia="es-ES"/>
        </w:rPr>
        <w:t xml:space="preserve"> de gravedad para estratificar a los pacientes en grupos de riesgo en función de la probabilidad de mortalidad observada a los 30 días</w:t>
      </w:r>
      <w:r>
        <w:rPr>
          <w:rFonts w:ascii="Arial" w:cs="Arial" w:hAnsi="Arial"/>
          <w:sz w:val="24"/>
          <w:szCs w:val="24"/>
          <w:vertAlign w:val="superscript"/>
          <w:lang w:val="es-ES" w:eastAsia="es-ES"/>
        </w:rPr>
        <w:t>1</w:t>
      </w:r>
      <w:r>
        <w:rPr>
          <w:rFonts w:ascii="Arial" w:cs="Arial" w:hAnsi="Arial"/>
          <w:sz w:val="24"/>
          <w:szCs w:val="24"/>
          <w:vertAlign w:val="superscript"/>
          <w:lang w:val="es-ES" w:eastAsia="es-ES"/>
        </w:rPr>
        <w:t>4</w:t>
      </w:r>
      <w:r>
        <w:rPr>
          <w:rFonts w:ascii="Arial" w:cs="Arial" w:hAnsi="Arial"/>
          <w:sz w:val="24"/>
          <w:szCs w:val="24"/>
          <w:vertAlign w:val="superscript"/>
          <w:lang w:val="es-ES" w:eastAsia="es-ES"/>
        </w:rPr>
        <w:t>-1</w:t>
      </w:r>
      <w:r>
        <w:rPr>
          <w:rFonts w:ascii="Arial" w:cs="Arial" w:hAnsi="Arial"/>
          <w:sz w:val="24"/>
          <w:szCs w:val="24"/>
          <w:vertAlign w:val="superscript"/>
          <w:lang w:val="es-ES" w:eastAsia="es-ES"/>
        </w:rPr>
        <w:t>6</w:t>
      </w:r>
      <w:r>
        <w:rPr>
          <w:rFonts w:ascii="Arial" w:cs="Arial" w:hAnsi="Arial"/>
          <w:sz w:val="24"/>
          <w:szCs w:val="24"/>
          <w:lang w:val="es-ES" w:eastAsia="es-ES"/>
        </w:rPr>
        <w:t>.</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Estas escalas tienen origen en otros países, sobre todo del primer mundo, por lo que no siempre representan las situaciones reales de países en vía </w:t>
      </w:r>
      <w:r>
        <w:rPr>
          <w:rFonts w:ascii="Arial" w:cs="Arial" w:hAnsi="Arial"/>
          <w:sz w:val="24"/>
          <w:szCs w:val="24"/>
          <w:lang w:val="es-ES" w:eastAsia="es-ES"/>
        </w:rPr>
        <w:t xml:space="preserve">de desarrollo como el nuestro. </w:t>
      </w:r>
      <w:r>
        <w:rPr>
          <w:rFonts w:ascii="Arial" w:cs="Arial" w:hAnsi="Arial"/>
          <w:sz w:val="24"/>
          <w:szCs w:val="24"/>
        </w:rPr>
        <w:t>Ante esta situación, el presente e</w:t>
      </w:r>
      <w:r>
        <w:rPr>
          <w:rFonts w:ascii="Arial" w:cs="Arial" w:hAnsi="Arial"/>
          <w:sz w:val="24"/>
          <w:szCs w:val="24"/>
        </w:rPr>
        <w:t xml:space="preserve">studio se propone como objetivo diseñar </w:t>
      </w:r>
      <w:r>
        <w:rPr>
          <w:rFonts w:ascii="Arial" w:cs="Arial" w:hAnsi="Arial"/>
          <w:sz w:val="24"/>
          <w:szCs w:val="24"/>
        </w:rPr>
        <w:t>un índice, basado en factores pronósticos, que permita predecir el</w:t>
      </w:r>
      <w:r>
        <w:rPr>
          <w:rFonts w:ascii="Arial" w:cs="Arial" w:hAnsi="Arial"/>
          <w:sz w:val="24"/>
          <w:szCs w:val="24"/>
        </w:rPr>
        <w:t xml:space="preserve"> </w:t>
      </w:r>
      <w:r>
        <w:rPr>
          <w:rFonts w:ascii="Arial" w:cs="Arial" w:hAnsi="Arial"/>
          <w:sz w:val="24"/>
          <w:szCs w:val="24"/>
        </w:rPr>
        <w:t>riesgo de morir en adultos mayores de 18 años con diagnóstico de neumonía</w:t>
      </w:r>
      <w:r>
        <w:rPr>
          <w:rFonts w:ascii="Arial" w:cs="Arial" w:hAnsi="Arial"/>
          <w:sz w:val="24"/>
          <w:szCs w:val="24"/>
        </w:rPr>
        <w:t xml:space="preserve"> </w:t>
      </w:r>
      <w:r>
        <w:rPr>
          <w:rFonts w:ascii="Arial" w:cs="Arial" w:hAnsi="Arial"/>
          <w:sz w:val="24"/>
          <w:szCs w:val="24"/>
        </w:rPr>
        <w:t>adquirida en la comunidad.</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sz w:val="24"/>
          <w:szCs w:val="24"/>
          <w:lang w:val="es-ES" w:eastAsia="es-ES"/>
        </w:rPr>
        <w:t xml:space="preserve">Para dar solución a la problemática antes expuesta se formuló el siguiente </w:t>
      </w:r>
      <w:r>
        <w:rPr>
          <w:rFonts w:ascii="Arial" w:cs="Arial" w:hAnsi="Arial"/>
          <w:b/>
          <w:sz w:val="24"/>
          <w:szCs w:val="24"/>
          <w:lang w:val="es-ES" w:eastAsia="es-ES"/>
        </w:rPr>
        <w:t>problema científico</w:t>
      </w:r>
      <w:r>
        <w:rPr>
          <w:rFonts w:ascii="Arial" w:cs="Arial" w:hAnsi="Arial"/>
          <w:sz w:val="24"/>
          <w:szCs w:val="24"/>
          <w:lang w:val="es-ES" w:eastAsia="es-ES"/>
        </w:rPr>
        <w:t xml:space="preserve">: se desconoce si con </w:t>
      </w:r>
      <w:r>
        <w:rPr>
          <w:rFonts w:ascii="Arial" w:cs="Arial" w:hAnsi="Arial"/>
          <w:sz w:val="24"/>
          <w:szCs w:val="24"/>
          <w:lang w:val="es-ES" w:eastAsia="es-ES"/>
        </w:rPr>
        <w:t xml:space="preserve">un </w:t>
      </w:r>
      <w:r>
        <w:rPr>
          <w:rFonts w:ascii="Arial" w:cs="Arial" w:hAnsi="Arial"/>
          <w:sz w:val="24"/>
          <w:szCs w:val="24"/>
          <w:lang w:val="es-ES" w:eastAsia="es-ES"/>
        </w:rPr>
        <w:t xml:space="preserve">índice </w:t>
      </w:r>
      <w:r>
        <w:rPr>
          <w:rFonts w:ascii="Arial" w:cs="Arial" w:hAnsi="Arial"/>
          <w:sz w:val="24"/>
          <w:szCs w:val="24"/>
          <w:lang w:val="es-ES" w:eastAsia="es-ES"/>
        </w:rPr>
        <w:t>basado en factores pronóstico</w:t>
      </w:r>
      <w:r>
        <w:rPr>
          <w:rFonts w:ascii="Arial" w:cs="Arial" w:hAnsi="Arial"/>
          <w:sz w:val="24"/>
          <w:szCs w:val="24"/>
          <w:lang w:val="es-ES" w:eastAsia="es-ES"/>
        </w:rPr>
        <w:t xml:space="preserve"> </w:t>
      </w:r>
      <w:r>
        <w:rPr>
          <w:rFonts w:ascii="Arial" w:cs="Arial" w:hAnsi="Arial"/>
          <w:sz w:val="24"/>
          <w:szCs w:val="24"/>
          <w:lang w:val="es-ES" w:eastAsia="es-ES"/>
        </w:rPr>
        <w:t xml:space="preserve">se podrá estimar el riesgo de morir </w:t>
      </w:r>
      <w:r>
        <w:rPr>
          <w:rFonts w:ascii="Arial" w:cs="Arial" w:hAnsi="Arial"/>
          <w:sz w:val="24"/>
          <w:szCs w:val="24"/>
          <w:lang w:val="es-ES" w:eastAsia="es-ES"/>
        </w:rPr>
        <w:t>por</w:t>
      </w:r>
      <w:r>
        <w:rPr>
          <w:rFonts w:ascii="Arial" w:cs="Arial" w:hAnsi="Arial"/>
          <w:sz w:val="24"/>
          <w:szCs w:val="24"/>
          <w:lang w:val="es-ES" w:eastAsia="es-ES"/>
        </w:rPr>
        <w:t xml:space="preserve"> neumonía adquirida en la comunidad</w:t>
      </w:r>
      <w:r>
        <w:rPr>
          <w:rFonts w:ascii="Arial" w:cs="Arial" w:hAnsi="Arial"/>
          <w:sz w:val="24"/>
          <w:szCs w:val="24"/>
          <w:lang w:val="es-ES" w:eastAsia="es-ES"/>
        </w:rPr>
        <w:t xml:space="preserve"> </w:t>
      </w:r>
      <w:r>
        <w:rPr>
          <w:rFonts w:ascii="Arial" w:cs="Arial" w:hAnsi="Arial"/>
          <w:color w:val="000000"/>
          <w:sz w:val="24"/>
          <w:szCs w:val="24"/>
        </w:rPr>
        <w:t xml:space="preserve">en los pacientes </w:t>
      </w:r>
      <w:r>
        <w:rPr>
          <w:rFonts w:ascii="Arial" w:cs="Arial" w:hAnsi="Arial"/>
          <w:sz w:val="24"/>
          <w:szCs w:val="24"/>
        </w:rPr>
        <w:t xml:space="preserve">mayores de 18 años </w:t>
      </w:r>
      <w:r>
        <w:rPr>
          <w:rFonts w:ascii="Arial" w:cs="Arial" w:hAnsi="Arial"/>
          <w:color w:val="000000"/>
          <w:sz w:val="24"/>
          <w:szCs w:val="24"/>
        </w:rPr>
        <w:t>con enfermedad pulmonar obstructiva crónica</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H</w:t>
      </w:r>
      <w:r>
        <w:rPr>
          <w:rFonts w:ascii="Arial" w:cs="Arial" w:hAnsi="Arial"/>
          <w:b/>
          <w:sz w:val="24"/>
          <w:szCs w:val="24"/>
          <w:lang w:val="es-ES" w:eastAsia="es-ES"/>
        </w:rPr>
        <w:t>ipótesis</w:t>
      </w:r>
      <w:r>
        <w:rPr>
          <w:rFonts w:ascii="Arial" w:cs="Arial" w:hAnsi="Arial"/>
          <w:b/>
          <w:sz w:val="24"/>
          <w:szCs w:val="24"/>
          <w:lang w:val="es-ES" w:eastAsia="es-ES"/>
        </w:rPr>
        <w:t>:</w:t>
      </w:r>
      <w:r>
        <w:rPr>
          <w:rFonts w:ascii="Arial" w:cs="Arial" w:hAnsi="Arial"/>
          <w:b/>
          <w:sz w:val="24"/>
          <w:szCs w:val="24"/>
          <w:lang w:val="es-ES" w:eastAsia="es-ES"/>
        </w:rPr>
        <w:t xml:space="preserve"> </w:t>
      </w:r>
      <w:r>
        <w:rPr>
          <w:rFonts w:ascii="Arial" w:cs="Arial" w:hAnsi="Arial"/>
          <w:sz w:val="24"/>
          <w:szCs w:val="24"/>
          <w:lang w:val="es-ES" w:eastAsia="es-ES"/>
        </w:rPr>
        <w:t>con</w:t>
      </w:r>
      <w:r>
        <w:rPr>
          <w:rFonts w:ascii="Arial" w:cs="Arial" w:hAnsi="Arial"/>
          <w:b/>
          <w:sz w:val="24"/>
          <w:szCs w:val="24"/>
          <w:lang w:val="es-ES" w:eastAsia="es-ES"/>
        </w:rPr>
        <w:t xml:space="preserve"> </w:t>
      </w:r>
      <w:r>
        <w:rPr>
          <w:rFonts w:ascii="Arial" w:cs="Arial" w:hAnsi="Arial"/>
          <w:sz w:val="24"/>
          <w:szCs w:val="24"/>
          <w:lang w:val="es-ES" w:eastAsia="es-ES"/>
        </w:rPr>
        <w:t>un</w:t>
      </w:r>
      <w:r>
        <w:rPr>
          <w:rFonts w:ascii="Arial" w:cs="Arial" w:hAnsi="Arial"/>
          <w:sz w:val="24"/>
          <w:szCs w:val="24"/>
          <w:lang w:val="es-ES" w:eastAsia="es-ES"/>
        </w:rPr>
        <w:t xml:space="preserve"> índice basado en factores tales como: edad, sexo, hábitos tóxicos, la comorbilidad y factores propios de la </w:t>
      </w:r>
      <w:r>
        <w:rPr>
          <w:rFonts w:ascii="Arial" w:cs="Arial" w:hAnsi="Arial"/>
          <w:sz w:val="24"/>
          <w:szCs w:val="24"/>
          <w:lang w:val="es-ES" w:eastAsia="es-ES"/>
        </w:rPr>
        <w:t>neumonía</w:t>
      </w:r>
      <w:r>
        <w:rPr>
          <w:rFonts w:ascii="Arial" w:cs="Arial" w:hAnsi="Arial"/>
          <w:sz w:val="24"/>
          <w:szCs w:val="24"/>
          <w:lang w:val="es-ES" w:eastAsia="es-ES"/>
        </w:rPr>
        <w:t xml:space="preserve"> se podrá prono</w:t>
      </w:r>
      <w:r>
        <w:rPr>
          <w:rFonts w:ascii="Arial" w:cs="Arial" w:hAnsi="Arial"/>
          <w:sz w:val="24"/>
          <w:szCs w:val="24"/>
          <w:lang w:val="es-ES" w:eastAsia="es-ES"/>
        </w:rPr>
        <w:t>sti</w:t>
      </w:r>
      <w:r>
        <w:rPr>
          <w:rFonts w:ascii="Arial" w:cs="Arial" w:hAnsi="Arial"/>
          <w:sz w:val="24"/>
          <w:szCs w:val="24"/>
          <w:lang w:val="es-ES" w:eastAsia="es-ES"/>
        </w:rPr>
        <w:t xml:space="preserve">car </w:t>
      </w:r>
      <w:r>
        <w:rPr>
          <w:rFonts w:ascii="Arial" w:cs="Arial" w:hAnsi="Arial"/>
          <w:sz w:val="24"/>
          <w:szCs w:val="24"/>
          <w:lang w:val="es-ES" w:eastAsia="es-ES"/>
        </w:rPr>
        <w:t xml:space="preserve">el riesgo de morir </w:t>
      </w:r>
      <w:r>
        <w:rPr>
          <w:rFonts w:ascii="Arial" w:cs="Arial" w:hAnsi="Arial"/>
          <w:sz w:val="24"/>
          <w:szCs w:val="24"/>
          <w:lang w:val="es-ES" w:eastAsia="es-ES"/>
        </w:rPr>
        <w:t>por</w:t>
      </w:r>
      <w:r>
        <w:rPr>
          <w:rFonts w:ascii="Arial" w:cs="Arial" w:hAnsi="Arial"/>
          <w:sz w:val="24"/>
          <w:szCs w:val="24"/>
          <w:lang w:val="es-ES" w:eastAsia="es-ES"/>
        </w:rPr>
        <w:t xml:space="preserve"> neumonía adquirida en la comunidad </w:t>
      </w:r>
      <w:r>
        <w:rPr>
          <w:rFonts w:ascii="Arial" w:cs="Arial" w:hAnsi="Arial"/>
          <w:sz w:val="24"/>
          <w:szCs w:val="24"/>
          <w:lang w:val="es-ES" w:eastAsia="es-ES"/>
        </w:rPr>
        <w:t>en pacientes con</w:t>
      </w:r>
      <w:r>
        <w:rPr>
          <w:rFonts w:ascii="Arial" w:cs="Arial" w:hAnsi="Arial"/>
          <w:sz w:val="24"/>
          <w:szCs w:val="24"/>
          <w:lang w:val="es-ES" w:eastAsia="es-ES"/>
        </w:rPr>
        <w:t xml:space="preserve"> </w:t>
      </w:r>
      <w:r>
        <w:rPr>
          <w:rFonts w:ascii="Arial" w:cs="Arial" w:hAnsi="Arial"/>
          <w:sz w:val="24"/>
          <w:szCs w:val="24"/>
          <w:lang w:val="es-ES" w:eastAsia="es-ES"/>
        </w:rPr>
        <w:t>enfermedad pulmonar obstructiva crónica.</w:t>
      </w:r>
    </w:p>
    <w:p>
      <w:pPr>
        <w:pStyle w:val="style0"/>
        <w:autoSpaceDE w:val="false"/>
        <w:autoSpaceDN w:val="false"/>
        <w:adjustRightInd w:val="false"/>
        <w:spacing w:after="0" w:lineRule="auto" w:line="360"/>
        <w:jc w:val="both"/>
        <w:rPr>
          <w:rFonts w:ascii="Arial" w:cs="Arial" w:hAnsi="Arial"/>
          <w:color w:val="231f20"/>
          <w:sz w:val="24"/>
          <w:szCs w:val="24"/>
          <w:lang w:eastAsia="es-ES"/>
        </w:rPr>
      </w:pPr>
      <w:r>
        <w:rPr>
          <w:rFonts w:ascii="Arial" w:cs="Arial" w:hAnsi="Arial"/>
          <w:sz w:val="24"/>
          <w:szCs w:val="24"/>
        </w:rPr>
        <w:t xml:space="preserve">Al cumplir los fines antes expuestos, </w:t>
      </w:r>
      <w:r>
        <w:rPr>
          <w:rFonts w:ascii="Arial" w:cs="Arial" w:hAnsi="Arial"/>
          <w:b/>
          <w:bCs/>
          <w:sz w:val="24"/>
          <w:szCs w:val="24"/>
        </w:rPr>
        <w:t xml:space="preserve">el aporte teórico </w:t>
      </w:r>
      <w:r>
        <w:rPr>
          <w:rFonts w:ascii="Arial" w:cs="Arial" w:hAnsi="Arial"/>
          <w:sz w:val="24"/>
          <w:szCs w:val="24"/>
        </w:rPr>
        <w:t xml:space="preserve">de la presente investigación </w:t>
      </w:r>
      <w:r>
        <w:rPr>
          <w:rFonts w:ascii="Arial" w:cs="Arial" w:hAnsi="Arial"/>
          <w:sz w:val="24"/>
          <w:szCs w:val="24"/>
        </w:rPr>
        <w:t xml:space="preserve">es que </w:t>
      </w:r>
      <w:r>
        <w:rPr>
          <w:rFonts w:ascii="Arial" w:cs="Arial" w:hAnsi="Arial"/>
          <w:sz w:val="24"/>
          <w:szCs w:val="24"/>
        </w:rPr>
        <w:t xml:space="preserve">determinó </w:t>
      </w:r>
      <w:r>
        <w:rPr>
          <w:rFonts w:ascii="Arial" w:cs="Arial" w:hAnsi="Arial"/>
          <w:sz w:val="24"/>
          <w:szCs w:val="24"/>
        </w:rPr>
        <w:t xml:space="preserve">el valor patogénico de un grupo de factores </w:t>
      </w:r>
      <w:r>
        <w:rPr>
          <w:rFonts w:ascii="Arial" w:cs="Arial" w:hAnsi="Arial"/>
          <w:sz w:val="24"/>
          <w:szCs w:val="24"/>
        </w:rPr>
        <w:t xml:space="preserve">pronósticos de muerte </w:t>
      </w:r>
      <w:r>
        <w:rPr>
          <w:rFonts w:ascii="Arial" w:cs="Arial" w:hAnsi="Arial"/>
          <w:sz w:val="24"/>
          <w:szCs w:val="24"/>
        </w:rPr>
        <w:t xml:space="preserve">en pacientes </w:t>
      </w:r>
      <w:r>
        <w:rPr>
          <w:rFonts w:ascii="Arial" w:cs="Arial" w:hAnsi="Arial"/>
          <w:color w:val="231f20"/>
          <w:sz w:val="24"/>
          <w:szCs w:val="24"/>
          <w:lang w:eastAsia="es-ES"/>
        </w:rPr>
        <w:t xml:space="preserve">con </w:t>
      </w:r>
      <w:r>
        <w:rPr>
          <w:rFonts w:ascii="Arial" w:cs="Arial" w:hAnsi="Arial"/>
          <w:color w:val="231f20"/>
          <w:sz w:val="24"/>
          <w:szCs w:val="24"/>
          <w:lang w:eastAsia="es-ES"/>
        </w:rPr>
        <w:t xml:space="preserve">NAC y EPOC. </w:t>
      </w:r>
    </w:p>
    <w:p>
      <w:pPr>
        <w:pStyle w:val="style0"/>
        <w:spacing w:after="0" w:lineRule="auto" w:line="360"/>
        <w:ind w:right="49"/>
        <w:jc w:val="both"/>
        <w:rPr>
          <w:rFonts w:ascii="Arial" w:cs="Arial" w:hAnsi="Arial"/>
          <w:sz w:val="24"/>
          <w:szCs w:val="24"/>
        </w:rPr>
      </w:pPr>
      <w:r>
        <w:rPr>
          <w:rFonts w:ascii="Arial" w:cs="Arial" w:hAnsi="Arial"/>
          <w:sz w:val="24"/>
          <w:szCs w:val="24"/>
        </w:rPr>
        <w:t xml:space="preserve">En el orden práctico </w:t>
      </w:r>
      <w:r>
        <w:rPr>
          <w:rFonts w:ascii="Arial" w:cs="Arial" w:hAnsi="Arial"/>
          <w:sz w:val="24"/>
          <w:szCs w:val="24"/>
        </w:rPr>
        <w:t xml:space="preserve">se puede aseverar que con la identificación </w:t>
      </w:r>
      <w:r>
        <w:rPr>
          <w:rFonts w:ascii="Arial" w:cs="Arial" w:hAnsi="Arial"/>
          <w:sz w:val="24"/>
          <w:szCs w:val="24"/>
        </w:rPr>
        <w:t xml:space="preserve">de </w:t>
      </w:r>
      <w:r>
        <w:rPr>
          <w:rFonts w:ascii="Arial" w:cs="Arial" w:hAnsi="Arial"/>
          <w:sz w:val="24"/>
          <w:szCs w:val="24"/>
        </w:rPr>
        <w:t xml:space="preserve">los diferentes factores </w:t>
      </w:r>
      <w:r>
        <w:rPr>
          <w:rFonts w:ascii="Arial" w:cs="Arial" w:hAnsi="Arial"/>
          <w:sz w:val="24"/>
          <w:szCs w:val="24"/>
        </w:rPr>
        <w:t>pronóstico y la aplicación del índice propuesto</w:t>
      </w:r>
      <w:r>
        <w:rPr>
          <w:rFonts w:ascii="Arial" w:cs="Arial" w:hAnsi="Arial"/>
          <w:sz w:val="24"/>
          <w:szCs w:val="24"/>
        </w:rPr>
        <w:t>, se pu</w:t>
      </w:r>
      <w:r>
        <w:rPr>
          <w:rFonts w:ascii="Arial" w:cs="Arial" w:hAnsi="Arial"/>
          <w:sz w:val="24"/>
          <w:szCs w:val="24"/>
        </w:rPr>
        <w:t>e</w:t>
      </w:r>
      <w:r>
        <w:rPr>
          <w:rFonts w:ascii="Arial" w:cs="Arial" w:hAnsi="Arial"/>
          <w:sz w:val="24"/>
          <w:szCs w:val="24"/>
        </w:rPr>
        <w:t>de hacer más objetiva la atención de estos enfermos y, además, s</w:t>
      </w:r>
      <w:r>
        <w:rPr>
          <w:rFonts w:ascii="Arial" w:cs="Arial" w:hAnsi="Arial"/>
          <w:sz w:val="24"/>
          <w:szCs w:val="24"/>
        </w:rPr>
        <w:t xml:space="preserve">erviría </w:t>
      </w:r>
      <w:r>
        <w:rPr>
          <w:rFonts w:ascii="Arial" w:cs="Arial" w:hAnsi="Arial"/>
          <w:sz w:val="24"/>
          <w:szCs w:val="24"/>
        </w:rPr>
        <w:t>como</w:t>
      </w:r>
      <w:r>
        <w:rPr>
          <w:rFonts w:ascii="Arial" w:cs="Arial" w:hAnsi="Arial"/>
          <w:sz w:val="24"/>
          <w:szCs w:val="24"/>
        </w:rPr>
        <w:t xml:space="preserve"> herramienta útil al permitir estratificar el riesgo </w:t>
      </w:r>
      <w:r>
        <w:rPr>
          <w:rFonts w:ascii="Arial" w:cs="Arial" w:hAnsi="Arial"/>
          <w:sz w:val="24"/>
          <w:szCs w:val="24"/>
        </w:rPr>
        <w:t xml:space="preserve">de morir </w:t>
      </w:r>
      <w:r>
        <w:rPr>
          <w:rFonts w:ascii="Arial" w:cs="Arial" w:hAnsi="Arial"/>
          <w:sz w:val="24"/>
          <w:szCs w:val="24"/>
        </w:rPr>
        <w:t>en est</w:t>
      </w:r>
      <w:r>
        <w:rPr>
          <w:rFonts w:ascii="Arial" w:cs="Arial" w:hAnsi="Arial"/>
          <w:sz w:val="24"/>
          <w:szCs w:val="24"/>
        </w:rPr>
        <w:t>o</w:t>
      </w:r>
      <w:r>
        <w:rPr>
          <w:rFonts w:ascii="Arial" w:cs="Arial" w:hAnsi="Arial"/>
          <w:sz w:val="24"/>
          <w:szCs w:val="24"/>
        </w:rPr>
        <w:t xml:space="preserve">s pacientes, con posibilidad de aplicarse en atención primaria y secundaria de salud. </w:t>
      </w:r>
      <w:r>
        <w:rPr>
          <w:rFonts w:ascii="Arial" w:cs="Arial" w:hAnsi="Arial"/>
          <w:sz w:val="24"/>
          <w:szCs w:val="24"/>
        </w:rPr>
        <w:t xml:space="preserve"> </w:t>
      </w:r>
    </w:p>
    <w:p>
      <w:pPr>
        <w:pStyle w:val="style0"/>
        <w:spacing w:after="0" w:lineRule="auto" w:line="360"/>
        <w:jc w:val="both"/>
        <w:outlineLvl w:val="0"/>
        <w:rPr>
          <w:rFonts w:ascii="Arial" w:cs="Arial" w:hAnsi="Arial"/>
          <w:sz w:val="24"/>
          <w:szCs w:val="24"/>
        </w:rPr>
      </w:pPr>
      <w:r>
        <w:rPr>
          <w:rFonts w:ascii="Arial" w:cs="Arial" w:hAnsi="Arial"/>
          <w:sz w:val="24"/>
          <w:szCs w:val="24"/>
          <w:lang w:val="es-ES" w:eastAsia="es-ES"/>
        </w:rPr>
        <w:t>Se realizó</w:t>
      </w:r>
      <w:r>
        <w:rPr>
          <w:rFonts w:ascii="Arial" w:cs="Arial" w:hAnsi="Arial"/>
          <w:sz w:val="24"/>
          <w:szCs w:val="24"/>
          <w:lang w:val="es-ES" w:eastAsia="es-ES"/>
        </w:rPr>
        <w:t xml:space="preserve"> el diseño de un índice </w:t>
      </w:r>
      <w:r>
        <w:rPr>
          <w:rFonts w:ascii="Arial" w:cs="Arial" w:hAnsi="Arial"/>
          <w:sz w:val="24"/>
          <w:szCs w:val="24"/>
          <w:lang w:val="es-ES" w:eastAsia="es-ES"/>
        </w:rPr>
        <w:t xml:space="preserve">pronóstico de muerte de la NAC, </w:t>
      </w:r>
      <w:r>
        <w:rPr>
          <w:rFonts w:ascii="Arial" w:cs="Arial" w:hAnsi="Arial"/>
          <w:color w:val="000000"/>
          <w:sz w:val="24"/>
          <w:szCs w:val="24"/>
        </w:rPr>
        <w:t>en</w:t>
      </w:r>
      <w:r>
        <w:rPr>
          <w:rFonts w:ascii="Arial" w:cs="Arial" w:hAnsi="Arial"/>
          <w:color w:val="000000"/>
          <w:sz w:val="24"/>
          <w:szCs w:val="24"/>
        </w:rPr>
        <w:t xml:space="preserve"> pacientes con </w:t>
      </w:r>
      <w:r>
        <w:rPr>
          <w:rFonts w:ascii="Arial" w:cs="Arial" w:hAnsi="Arial"/>
          <w:color w:val="000000"/>
          <w:sz w:val="24"/>
          <w:szCs w:val="24"/>
        </w:rPr>
        <w:t xml:space="preserve">EPOC, </w:t>
      </w:r>
      <w:r>
        <w:rPr>
          <w:rFonts w:ascii="Arial" w:cs="Arial" w:hAnsi="Arial"/>
          <w:sz w:val="24"/>
          <w:szCs w:val="24"/>
          <w:lang w:val="es-ES" w:eastAsia="es-ES"/>
        </w:rPr>
        <w:t>medi</w:t>
      </w:r>
      <w:r>
        <w:rPr>
          <w:rFonts w:ascii="Arial" w:cs="Arial" w:hAnsi="Arial"/>
          <w:sz w:val="24"/>
          <w:szCs w:val="24"/>
          <w:lang w:val="es-ES" w:eastAsia="es-ES"/>
        </w:rPr>
        <w:t>ante un estudio de cohorte, donde se determinó</w:t>
      </w:r>
      <w:r>
        <w:rPr>
          <w:rFonts w:ascii="Arial" w:cs="Arial" w:hAnsi="Arial"/>
          <w:sz w:val="24"/>
          <w:szCs w:val="24"/>
          <w:lang w:val="es-ES" w:eastAsia="es-ES"/>
        </w:rPr>
        <w:t xml:space="preserve"> </w:t>
      </w:r>
      <w:r>
        <w:rPr>
          <w:rFonts w:ascii="Arial" w:cs="Arial" w:hAnsi="Arial"/>
          <w:sz w:val="24"/>
          <w:szCs w:val="24"/>
          <w:lang w:val="es-ES" w:eastAsia="es-ES"/>
        </w:rPr>
        <w:t xml:space="preserve">el riesgo de morir en los pacientes </w:t>
      </w:r>
      <w:r>
        <w:rPr>
          <w:rFonts w:ascii="Arial" w:cs="Arial" w:hAnsi="Arial"/>
          <w:sz w:val="24"/>
          <w:szCs w:val="24"/>
          <w:lang w:val="es-ES" w:eastAsia="es-ES"/>
        </w:rPr>
        <w:t xml:space="preserve">que </w:t>
      </w:r>
      <w:r>
        <w:rPr>
          <w:rFonts w:ascii="Arial" w:cs="Arial" w:hAnsi="Arial"/>
          <w:sz w:val="24"/>
          <w:szCs w:val="24"/>
          <w:lang w:val="es-ES" w:eastAsia="es-ES"/>
        </w:rPr>
        <w:t xml:space="preserve">ingresaron </w:t>
      </w:r>
      <w:r>
        <w:rPr>
          <w:rFonts w:ascii="Arial" w:cs="Arial" w:hAnsi="Arial"/>
          <w:sz w:val="24"/>
          <w:szCs w:val="24"/>
        </w:rPr>
        <w:t xml:space="preserve">en el </w:t>
      </w:r>
      <w:r>
        <w:rPr>
          <w:rFonts w:ascii="Arial" w:cs="Arial" w:hAnsi="Arial"/>
          <w:sz w:val="24"/>
          <w:szCs w:val="24"/>
        </w:rPr>
        <w:t xml:space="preserve">servicio de Medicina Interna del </w:t>
      </w:r>
      <w:r>
        <w:rPr>
          <w:rFonts w:ascii="Arial" w:cs="Arial" w:hAnsi="Arial"/>
          <w:sz w:val="24"/>
          <w:szCs w:val="24"/>
        </w:rPr>
        <w:t xml:space="preserve">Hospital </w:t>
      </w:r>
      <w:r>
        <w:rPr>
          <w:rFonts w:ascii="Arial" w:cs="Arial" w:hAnsi="Arial"/>
          <w:sz w:val="24"/>
          <w:szCs w:val="24"/>
        </w:rPr>
        <w:t>Provincial General “</w:t>
      </w:r>
      <w:r>
        <w:rPr>
          <w:rFonts w:ascii="Arial" w:cs="Arial" w:hAnsi="Arial"/>
          <w:sz w:val="24"/>
          <w:szCs w:val="24"/>
        </w:rPr>
        <w:t>Carlos Ma</w:t>
      </w:r>
      <w:r>
        <w:rPr>
          <w:rFonts w:ascii="Arial" w:cs="Arial" w:hAnsi="Arial"/>
          <w:sz w:val="24"/>
          <w:szCs w:val="24"/>
        </w:rPr>
        <w:t xml:space="preserve">nuel de Céspedes”, en el período </w:t>
      </w:r>
      <w:r>
        <w:rPr>
          <w:rFonts w:ascii="Arial" w:cs="Arial" w:hAnsi="Arial"/>
          <w:sz w:val="24"/>
          <w:szCs w:val="24"/>
        </w:rPr>
        <w:t>comprendido desde el</w:t>
      </w:r>
      <w:r>
        <w:rPr>
          <w:rFonts w:ascii="Arial" w:cs="Arial" w:hAnsi="Arial"/>
          <w:sz w:val="24"/>
          <w:szCs w:val="24"/>
        </w:rPr>
        <w:t xml:space="preserve"> 1</w:t>
      </w:r>
      <w:r>
        <w:rPr>
          <w:rFonts w:ascii="Arial" w:cs="Arial" w:hAnsi="Arial"/>
          <w:sz w:val="24"/>
          <w:szCs w:val="24"/>
        </w:rPr>
        <w:t xml:space="preserve">ro de </w:t>
      </w:r>
      <w:r>
        <w:rPr>
          <w:rFonts w:ascii="Arial" w:cs="Arial" w:hAnsi="Arial"/>
          <w:sz w:val="24"/>
          <w:szCs w:val="24"/>
        </w:rPr>
        <w:t>septiembre</w:t>
      </w:r>
      <w:r>
        <w:rPr>
          <w:rFonts w:ascii="Arial" w:cs="Arial" w:hAnsi="Arial"/>
          <w:sz w:val="24"/>
          <w:szCs w:val="24"/>
        </w:rPr>
        <w:t xml:space="preserve"> de 20</w:t>
      </w:r>
      <w:r>
        <w:rPr>
          <w:rFonts w:ascii="Arial" w:cs="Arial" w:hAnsi="Arial"/>
          <w:sz w:val="24"/>
          <w:szCs w:val="24"/>
        </w:rPr>
        <w:t>20 al 31 de diciembre de 2021</w:t>
      </w:r>
      <w:r>
        <w:rPr>
          <w:rFonts w:ascii="Arial" w:cs="Arial" w:hAnsi="Arial"/>
          <w:sz w:val="24"/>
          <w:szCs w:val="24"/>
        </w:rPr>
        <w:t xml:space="preserve">. </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 xml:space="preserve">Se utilizaron métodos empíricos, teóricos y estadísticos, que se explican y detallan en el capítulo correspondiente, entre los cuales se encuentran: método </w:t>
      </w:r>
      <w:r>
        <w:rPr>
          <w:rFonts w:ascii="Arial" w:cs="Arial" w:eastAsia="TimesNewRoman" w:hAnsi="Arial"/>
          <w:sz w:val="24"/>
          <w:szCs w:val="24"/>
          <w:lang w:eastAsia="es-ES"/>
        </w:rPr>
        <w:t xml:space="preserve">histórico-lógico para caracterizar las tendencias fundamentales del objeto de investigación; método sistémico estructural para determinar y estructurar los componentes </w:t>
      </w:r>
      <w:r>
        <w:rPr>
          <w:rFonts w:ascii="Arial" w:cs="Arial" w:eastAsia="TimesNewRoman" w:hAnsi="Arial"/>
          <w:sz w:val="24"/>
          <w:szCs w:val="24"/>
          <w:lang w:eastAsia="es-ES"/>
        </w:rPr>
        <w:t>del</w:t>
      </w:r>
      <w:r>
        <w:rPr>
          <w:rFonts w:ascii="Arial" w:cs="Arial" w:eastAsia="TimesNewRoman" w:hAnsi="Arial"/>
          <w:sz w:val="24"/>
          <w:szCs w:val="24"/>
          <w:lang w:eastAsia="es-ES"/>
        </w:rPr>
        <w:t xml:space="preserve"> índice; método inducción y deducción con el fin de establecer generalizaciones sobre la base del estudio y análisis de los resultados; método de análisis y síntesis para todo el estudio de los factores </w:t>
      </w:r>
      <w:r>
        <w:rPr>
          <w:rFonts w:ascii="Arial" w:cs="Arial" w:eastAsia="TimesNewRoman" w:hAnsi="Arial"/>
          <w:sz w:val="24"/>
          <w:szCs w:val="24"/>
          <w:lang w:eastAsia="es-ES"/>
        </w:rPr>
        <w:t xml:space="preserve">pronósticos y el </w:t>
      </w:r>
      <w:r>
        <w:rPr>
          <w:rFonts w:ascii="Arial" w:cs="Arial" w:eastAsia="TimesNewRoman" w:hAnsi="Arial"/>
          <w:sz w:val="24"/>
          <w:szCs w:val="24"/>
          <w:lang w:eastAsia="es-ES"/>
        </w:rPr>
        <w:t xml:space="preserve">índice; método holístico-dialéctico en la determinación </w:t>
      </w:r>
      <w:r>
        <w:rPr>
          <w:rFonts w:ascii="Arial" w:cs="Arial" w:eastAsia="TimesNewRoman" w:hAnsi="Arial"/>
          <w:sz w:val="24"/>
          <w:szCs w:val="24"/>
          <w:lang w:eastAsia="es-ES"/>
        </w:rPr>
        <w:t>del</w:t>
      </w:r>
      <w:r>
        <w:rPr>
          <w:rFonts w:ascii="Arial" w:cs="Arial" w:eastAsia="TimesNewRoman" w:hAnsi="Arial"/>
          <w:sz w:val="24"/>
          <w:szCs w:val="24"/>
          <w:lang w:eastAsia="es-ES"/>
        </w:rPr>
        <w:t xml:space="preserve"> índice y su interpretación; método estadístico-analítico para determinar y evaluar los</w:t>
      </w:r>
      <w:r>
        <w:rPr>
          <w:rFonts w:ascii="Arial" w:cs="Arial" w:eastAsia="TimesNewRoman" w:hAnsi="Arial"/>
          <w:sz w:val="24"/>
          <w:szCs w:val="24"/>
          <w:lang w:eastAsia="es-ES"/>
        </w:rPr>
        <w:t xml:space="preserve"> </w:t>
      </w:r>
      <w:r>
        <w:rPr>
          <w:rFonts w:ascii="Arial" w:cs="Arial" w:eastAsia="TimesNewRoman" w:hAnsi="Arial"/>
          <w:sz w:val="24"/>
          <w:szCs w:val="24"/>
          <w:lang w:eastAsia="es-ES"/>
        </w:rPr>
        <w:t>resultados.</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El procesamiento estadístico se realizó fundamentalmente con el sistema SPSS (</w:t>
      </w:r>
      <w:r>
        <w:rPr>
          <w:rFonts w:ascii="Arial" w:cs="Arial" w:eastAsia="TimesNewRoman" w:hAnsi="Arial"/>
          <w:i/>
          <w:iCs/>
          <w:sz w:val="24"/>
          <w:szCs w:val="24"/>
          <w:lang w:eastAsia="es-ES"/>
        </w:rPr>
        <w:t>Statistical Package for the Social Sciences</w:t>
      </w:r>
      <w:r>
        <w:rPr>
          <w:rFonts w:ascii="Arial" w:cs="Arial" w:eastAsia="TimesNewRoman" w:hAnsi="Arial"/>
          <w:sz w:val="24"/>
          <w:szCs w:val="24"/>
          <w:lang w:eastAsia="es-ES"/>
        </w:rPr>
        <w:t xml:space="preserve">) versión </w:t>
      </w:r>
      <w:r>
        <w:rPr>
          <w:rFonts w:ascii="Arial" w:cs="Arial" w:eastAsia="TimesNewRoman" w:hAnsi="Arial"/>
          <w:sz w:val="24"/>
          <w:szCs w:val="24"/>
          <w:lang w:eastAsia="es-ES"/>
        </w:rPr>
        <w:t>25,0</w:t>
      </w:r>
      <w:r>
        <w:rPr>
          <w:rFonts w:ascii="Arial" w:cs="Arial" w:eastAsia="TimesNewRoman" w:hAnsi="Arial"/>
          <w:sz w:val="24"/>
          <w:szCs w:val="24"/>
          <w:lang w:eastAsia="es-ES"/>
        </w:rPr>
        <w:t xml:space="preserve"> para Windows.</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p>
    <w:p>
      <w:pPr>
        <w:pStyle w:val="style0"/>
        <w:autoSpaceDE w:val="false"/>
        <w:autoSpaceDN w:val="false"/>
        <w:adjustRightInd w:val="false"/>
        <w:spacing w:after="0" w:lineRule="auto" w:line="360"/>
        <w:jc w:val="both"/>
        <w:rPr>
          <w:rFonts w:ascii="Arial" w:cs="Arial" w:hAnsi="Arial"/>
          <w:sz w:val="24"/>
          <w:szCs w:val="24"/>
          <w:lang w:val="es-ES" w:eastAsia="es-ES"/>
        </w:rPr>
      </w:pPr>
    </w:p>
    <w:p>
      <w:pPr>
        <w:pStyle w:val="style0"/>
        <w:autoSpaceDE w:val="false"/>
        <w:autoSpaceDN w:val="false"/>
        <w:adjustRightInd w:val="false"/>
        <w:spacing w:after="0" w:lineRule="auto" w:line="360"/>
        <w:jc w:val="both"/>
        <w:rPr>
          <w:rFonts w:ascii="Arial" w:cs="Arial" w:hAnsi="Arial"/>
          <w:b/>
          <w:sz w:val="24"/>
          <w:szCs w:val="24"/>
          <w:lang w:val="es-ES" w:eastAsia="es-ES"/>
        </w:rPr>
      </w:pPr>
      <w:r>
        <w:rPr>
          <w:rFonts w:ascii="Arial" w:cs="Arial" w:hAnsi="Arial"/>
          <w:b/>
          <w:sz w:val="24"/>
          <w:szCs w:val="24"/>
          <w:lang w:val="es-ES" w:eastAsia="es-ES"/>
        </w:rPr>
        <w:t>OBJETIVO:</w:t>
      </w:r>
    </w:p>
    <w:p>
      <w:pPr>
        <w:pStyle w:val="style94"/>
        <w:numPr>
          <w:ilvl w:val="0"/>
          <w:numId w:val="5"/>
        </w:numPr>
        <w:shd w:val="clear" w:color="auto" w:fill="ffffff"/>
        <w:spacing w:lineRule="auto" w:line="360"/>
        <w:jc w:val="both"/>
        <w:rPr>
          <w:rFonts w:ascii="Verdana" w:hAnsi="Verdana"/>
          <w:color w:val="000000"/>
        </w:rPr>
      </w:pPr>
      <w:r>
        <w:rPr>
          <w:rFonts w:ascii="Arial" w:cs="Arial" w:hAnsi="Arial"/>
          <w:color w:val="000000"/>
        </w:rPr>
        <w:t>Crear un í</w:t>
      </w:r>
      <w:r>
        <w:rPr>
          <w:rFonts w:ascii="Arial" w:cs="Arial" w:hAnsi="Arial"/>
          <w:color w:val="000000"/>
        </w:rPr>
        <w:t xml:space="preserve">ndice pronóstico de muerte por neumonía adquirida en la comunidad en los pacientes </w:t>
      </w:r>
      <w:r>
        <w:rPr>
          <w:rFonts w:ascii="Arial" w:cs="Arial" w:hAnsi="Arial"/>
        </w:rPr>
        <w:t xml:space="preserve">mayores de 18 años </w:t>
      </w:r>
      <w:r>
        <w:rPr>
          <w:rFonts w:ascii="Arial" w:cs="Arial" w:hAnsi="Arial"/>
          <w:color w:val="000000"/>
        </w:rPr>
        <w:t>con enfermedad pulmonar obstructiva crónica.</w:t>
      </w:r>
    </w:p>
    <w:p>
      <w:pPr>
        <w:pStyle w:val="style0"/>
        <w:autoSpaceDE w:val="false"/>
        <w:autoSpaceDN w:val="false"/>
        <w:adjustRightInd w:val="false"/>
        <w:spacing w:after="0" w:lineRule="auto" w:line="360"/>
        <w:jc w:val="both"/>
        <w:rPr>
          <w:rFonts w:ascii="Arial" w:cs="Arial" w:hAnsi="Arial"/>
          <w:sz w:val="24"/>
          <w:szCs w:val="24"/>
          <w:lang w:val="es-ES" w:eastAsia="es-ES"/>
        </w:rPr>
      </w:pPr>
    </w:p>
    <w:p>
      <w:pPr>
        <w:pStyle w:val="style0"/>
        <w:spacing w:after="200" w:lineRule="auto" w:line="276"/>
        <w:rPr>
          <w:rFonts w:ascii="Arial" w:cs="Arial" w:hAnsi="Arial"/>
          <w:b/>
          <w:sz w:val="24"/>
          <w:szCs w:val="24"/>
          <w:lang w:val="es-ES" w:eastAsia="es-ES"/>
        </w:rPr>
      </w:pPr>
      <w:r>
        <w:rPr>
          <w:rFonts w:ascii="Arial" w:cs="Arial" w:hAnsi="Arial"/>
          <w:b/>
          <w:sz w:val="24"/>
          <w:szCs w:val="24"/>
          <w:lang w:val="es-ES" w:eastAsia="es-ES"/>
        </w:rPr>
        <w:br w:type="page"/>
      </w:r>
    </w:p>
    <w:p>
      <w:pPr>
        <w:pStyle w:val="style0"/>
        <w:autoSpaceDE w:val="false"/>
        <w:autoSpaceDN w:val="false"/>
        <w:adjustRightInd w:val="false"/>
        <w:spacing w:after="0" w:lineRule="auto" w:line="360"/>
        <w:jc w:val="center"/>
        <w:rPr>
          <w:rFonts w:ascii="Arial" w:cs="Arial" w:hAnsi="Arial"/>
          <w:b/>
          <w:sz w:val="24"/>
          <w:szCs w:val="24"/>
          <w:lang w:val="es-ES" w:eastAsia="es-ES"/>
        </w:rPr>
      </w:pPr>
      <w:r>
        <w:rPr>
          <w:rFonts w:ascii="Arial" w:cs="Arial" w:hAnsi="Arial"/>
          <w:b/>
          <w:sz w:val="24"/>
          <w:szCs w:val="24"/>
          <w:lang w:val="es-ES" w:eastAsia="es-ES"/>
        </w:rPr>
        <w:t>DISEÑO METODOLÓGICO</w:t>
      </w:r>
    </w:p>
    <w:p>
      <w:pPr>
        <w:pStyle w:val="style0"/>
        <w:autoSpaceDE w:val="false"/>
        <w:autoSpaceDN w:val="false"/>
        <w:adjustRightInd w:val="false"/>
        <w:spacing w:after="0" w:lineRule="auto" w:line="360"/>
        <w:jc w:val="center"/>
        <w:rPr>
          <w:rFonts w:ascii="Arial" w:cs="Arial" w:hAnsi="Arial"/>
          <w:b/>
          <w:sz w:val="24"/>
          <w:szCs w:val="24"/>
          <w:lang w:val="es-ES" w:eastAsia="es-ES"/>
        </w:rPr>
      </w:pPr>
    </w:p>
    <w:p>
      <w:pPr>
        <w:pStyle w:val="style0"/>
        <w:spacing w:after="0" w:lineRule="auto" w:line="360"/>
        <w:jc w:val="both"/>
        <w:outlineLvl w:val="0"/>
        <w:rPr>
          <w:rFonts w:ascii="Arial" w:cs="Arial" w:hAnsi="Arial"/>
          <w:sz w:val="24"/>
          <w:szCs w:val="24"/>
        </w:rPr>
      </w:pPr>
      <w:r>
        <w:rPr>
          <w:rFonts w:ascii="Arial" w:cs="Arial" w:hAnsi="Arial"/>
          <w:sz w:val="24"/>
          <w:szCs w:val="24"/>
          <w:lang w:val="es-ES" w:eastAsia="es-ES"/>
        </w:rPr>
        <w:t>Se realizó</w:t>
      </w:r>
      <w:r>
        <w:rPr>
          <w:rFonts w:ascii="Arial" w:cs="Arial" w:hAnsi="Arial"/>
          <w:sz w:val="24"/>
          <w:szCs w:val="24"/>
          <w:lang w:val="es-ES" w:eastAsia="es-ES"/>
        </w:rPr>
        <w:t xml:space="preserve"> el diseño de un índice </w:t>
      </w:r>
      <w:r>
        <w:rPr>
          <w:rFonts w:ascii="Arial" w:cs="Arial" w:hAnsi="Arial"/>
          <w:sz w:val="24"/>
          <w:szCs w:val="24"/>
          <w:lang w:val="es-ES" w:eastAsia="es-ES"/>
        </w:rPr>
        <w:t xml:space="preserve">pronóstico de muerte de la NAC, </w:t>
      </w:r>
      <w:r>
        <w:rPr>
          <w:rFonts w:ascii="Arial" w:cs="Arial" w:hAnsi="Arial"/>
          <w:color w:val="000000"/>
          <w:sz w:val="24"/>
          <w:szCs w:val="24"/>
        </w:rPr>
        <w:t>en</w:t>
      </w:r>
      <w:r>
        <w:rPr>
          <w:rFonts w:ascii="Arial" w:cs="Arial" w:hAnsi="Arial"/>
          <w:color w:val="000000"/>
          <w:sz w:val="24"/>
          <w:szCs w:val="24"/>
        </w:rPr>
        <w:t xml:space="preserve"> pacientes con enfermed</w:t>
      </w:r>
      <w:r>
        <w:rPr>
          <w:rFonts w:ascii="Arial" w:cs="Arial" w:hAnsi="Arial"/>
          <w:color w:val="000000"/>
          <w:sz w:val="24"/>
          <w:szCs w:val="24"/>
        </w:rPr>
        <w:t xml:space="preserve">ad pulmonar obstructiva crónica, </w:t>
      </w:r>
      <w:r>
        <w:rPr>
          <w:rFonts w:ascii="Arial" w:cs="Arial" w:hAnsi="Arial"/>
          <w:sz w:val="24"/>
          <w:szCs w:val="24"/>
          <w:lang w:val="es-ES" w:eastAsia="es-ES"/>
        </w:rPr>
        <w:t>medi</w:t>
      </w:r>
      <w:r>
        <w:rPr>
          <w:rFonts w:ascii="Arial" w:cs="Arial" w:hAnsi="Arial"/>
          <w:sz w:val="24"/>
          <w:szCs w:val="24"/>
          <w:lang w:val="es-ES" w:eastAsia="es-ES"/>
        </w:rPr>
        <w:t>ante un estudio de cohorte, donde se determinó</w:t>
      </w:r>
      <w:r>
        <w:rPr>
          <w:rFonts w:ascii="Arial" w:cs="Arial" w:hAnsi="Arial"/>
          <w:sz w:val="24"/>
          <w:szCs w:val="24"/>
          <w:lang w:val="es-ES" w:eastAsia="es-ES"/>
        </w:rPr>
        <w:t xml:space="preserve"> </w:t>
      </w:r>
      <w:r>
        <w:rPr>
          <w:rFonts w:ascii="Arial" w:cs="Arial" w:hAnsi="Arial"/>
          <w:sz w:val="24"/>
          <w:szCs w:val="24"/>
          <w:lang w:val="es-ES" w:eastAsia="es-ES"/>
        </w:rPr>
        <w:t xml:space="preserve">el riesgo de morir en los pacientes </w:t>
      </w:r>
      <w:r>
        <w:rPr>
          <w:rFonts w:ascii="Arial" w:cs="Arial" w:hAnsi="Arial"/>
          <w:sz w:val="24"/>
          <w:szCs w:val="24"/>
          <w:lang w:val="es-ES" w:eastAsia="es-ES"/>
        </w:rPr>
        <w:t xml:space="preserve">que </w:t>
      </w:r>
      <w:r>
        <w:rPr>
          <w:rFonts w:ascii="Arial" w:cs="Arial" w:hAnsi="Arial"/>
          <w:sz w:val="24"/>
          <w:szCs w:val="24"/>
          <w:lang w:val="es-ES" w:eastAsia="es-ES"/>
        </w:rPr>
        <w:t>ingresaro</w:t>
      </w:r>
      <w:r>
        <w:rPr>
          <w:rFonts w:ascii="Arial" w:cs="Arial" w:hAnsi="Arial"/>
          <w:sz w:val="24"/>
          <w:szCs w:val="24"/>
          <w:lang w:val="es-ES" w:eastAsia="es-ES"/>
        </w:rPr>
        <w:t xml:space="preserve">n </w:t>
      </w:r>
      <w:r>
        <w:rPr>
          <w:rFonts w:ascii="Arial" w:cs="Arial" w:hAnsi="Arial"/>
          <w:sz w:val="24"/>
          <w:szCs w:val="24"/>
        </w:rPr>
        <w:t xml:space="preserve">en el </w:t>
      </w:r>
      <w:r>
        <w:rPr>
          <w:rFonts w:ascii="Arial" w:cs="Arial" w:hAnsi="Arial"/>
          <w:sz w:val="24"/>
          <w:szCs w:val="24"/>
        </w:rPr>
        <w:t xml:space="preserve">servicio de Medicina Interna del </w:t>
      </w:r>
      <w:r>
        <w:rPr>
          <w:rFonts w:ascii="Arial" w:cs="Arial" w:hAnsi="Arial"/>
          <w:sz w:val="24"/>
          <w:szCs w:val="24"/>
        </w:rPr>
        <w:t xml:space="preserve">Hospital </w:t>
      </w:r>
      <w:r>
        <w:rPr>
          <w:rFonts w:ascii="Arial" w:cs="Arial" w:hAnsi="Arial"/>
          <w:sz w:val="24"/>
          <w:szCs w:val="24"/>
        </w:rPr>
        <w:t>Provincial General “</w:t>
      </w:r>
      <w:r>
        <w:rPr>
          <w:rFonts w:ascii="Arial" w:cs="Arial" w:hAnsi="Arial"/>
          <w:sz w:val="24"/>
          <w:szCs w:val="24"/>
        </w:rPr>
        <w:t>Carlos Ma</w:t>
      </w:r>
      <w:r>
        <w:rPr>
          <w:rFonts w:ascii="Arial" w:cs="Arial" w:hAnsi="Arial"/>
          <w:sz w:val="24"/>
          <w:szCs w:val="24"/>
        </w:rPr>
        <w:t xml:space="preserve">nuel de Céspedes”, en el período </w:t>
      </w:r>
      <w:r>
        <w:rPr>
          <w:rFonts w:ascii="Arial" w:cs="Arial" w:hAnsi="Arial"/>
          <w:sz w:val="24"/>
          <w:szCs w:val="24"/>
        </w:rPr>
        <w:t>comprendido desde el</w:t>
      </w:r>
      <w:r>
        <w:rPr>
          <w:rFonts w:ascii="Arial" w:cs="Arial" w:hAnsi="Arial"/>
          <w:sz w:val="24"/>
          <w:szCs w:val="24"/>
        </w:rPr>
        <w:t xml:space="preserve"> 1</w:t>
      </w:r>
      <w:r>
        <w:rPr>
          <w:rFonts w:ascii="Arial" w:cs="Arial" w:hAnsi="Arial"/>
          <w:sz w:val="24"/>
          <w:szCs w:val="24"/>
        </w:rPr>
        <w:t xml:space="preserve">ro de </w:t>
      </w:r>
      <w:r>
        <w:rPr>
          <w:rFonts w:ascii="Arial" w:cs="Arial" w:hAnsi="Arial"/>
          <w:sz w:val="24"/>
          <w:szCs w:val="24"/>
        </w:rPr>
        <w:t>septiembre</w:t>
      </w:r>
      <w:r>
        <w:rPr>
          <w:rFonts w:ascii="Arial" w:cs="Arial" w:hAnsi="Arial"/>
          <w:sz w:val="24"/>
          <w:szCs w:val="24"/>
        </w:rPr>
        <w:t xml:space="preserve"> de 20</w:t>
      </w:r>
      <w:r>
        <w:rPr>
          <w:rFonts w:ascii="Arial" w:cs="Arial" w:hAnsi="Arial"/>
          <w:sz w:val="24"/>
          <w:szCs w:val="24"/>
        </w:rPr>
        <w:t>20 al 31 de diciembre de 2021</w:t>
      </w:r>
      <w:r>
        <w:rPr>
          <w:rFonts w:ascii="Arial" w:cs="Arial" w:hAnsi="Arial"/>
          <w:sz w:val="24"/>
          <w:szCs w:val="24"/>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b/>
          <w:sz w:val="24"/>
          <w:szCs w:val="24"/>
          <w:lang w:val="es-ES" w:eastAsia="es-ES"/>
        </w:rPr>
        <w:t>Criterios de inclusión</w:t>
      </w:r>
      <w:r>
        <w:rPr>
          <w:rFonts w:ascii="Arial" w:cs="Arial" w:hAnsi="Arial"/>
          <w:sz w:val="24"/>
          <w:szCs w:val="24"/>
          <w:lang w:val="es-ES" w:eastAsia="es-ES"/>
        </w:rPr>
        <w:t xml:space="preserve"> </w:t>
      </w:r>
    </w:p>
    <w:p>
      <w:pPr>
        <w:pStyle w:val="style0"/>
        <w:spacing w:after="0" w:lineRule="auto" w:line="360"/>
        <w:jc w:val="both"/>
        <w:outlineLvl w:val="0"/>
        <w:rPr>
          <w:rFonts w:ascii="Arial" w:cs="Arial" w:hAnsi="Arial"/>
          <w:sz w:val="24"/>
          <w:szCs w:val="24"/>
        </w:rPr>
      </w:pPr>
      <w:r>
        <w:rPr>
          <w:rFonts w:ascii="Arial" w:cs="Arial" w:hAnsi="Arial"/>
          <w:sz w:val="24"/>
          <w:szCs w:val="24"/>
          <w:lang w:val="es-ES" w:eastAsia="es-ES"/>
        </w:rPr>
        <w:t>Adulto de 18 a</w:t>
      </w:r>
      <w:r>
        <w:rPr>
          <w:rFonts w:ascii="Arial" w:cs="Arial" w:hAnsi="Arial"/>
          <w:sz w:val="24"/>
          <w:szCs w:val="24"/>
          <w:lang w:val="es-ES" w:eastAsia="es-ES"/>
        </w:rPr>
        <w:t>ños o más de edad, que ingresaro</w:t>
      </w:r>
      <w:r>
        <w:rPr>
          <w:rFonts w:ascii="Arial" w:cs="Arial" w:hAnsi="Arial"/>
          <w:sz w:val="24"/>
          <w:szCs w:val="24"/>
          <w:lang w:val="es-ES" w:eastAsia="es-ES"/>
        </w:rPr>
        <w:t>n</w:t>
      </w:r>
      <w:r>
        <w:rPr>
          <w:rFonts w:ascii="Arial" w:cs="Arial" w:hAnsi="Arial"/>
          <w:sz w:val="24"/>
          <w:szCs w:val="24"/>
          <w:lang w:val="es-ES" w:eastAsia="es-ES"/>
        </w:rPr>
        <w:t xml:space="preserve"> con el diagnóstico de NAC </w:t>
      </w:r>
      <w:r>
        <w:rPr>
          <w:rFonts w:ascii="Arial" w:cs="Arial" w:hAnsi="Arial"/>
          <w:color w:val="000000"/>
          <w:sz w:val="24"/>
          <w:szCs w:val="24"/>
        </w:rPr>
        <w:t xml:space="preserve">y </w:t>
      </w:r>
      <w:r>
        <w:rPr>
          <w:rFonts w:ascii="Arial" w:cs="Arial" w:hAnsi="Arial"/>
          <w:color w:val="000000"/>
          <w:sz w:val="24"/>
          <w:szCs w:val="24"/>
        </w:rPr>
        <w:t>con enfermedad pulmonar obstructiva crónica.</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b/>
          <w:sz w:val="24"/>
          <w:szCs w:val="24"/>
          <w:lang w:val="es-ES" w:eastAsia="es-ES"/>
        </w:rPr>
        <w:t xml:space="preserve">Criterios de exclusión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Pacientes con sida, enfermedades hematológicas m</w:t>
      </w:r>
      <w:r>
        <w:rPr>
          <w:rFonts w:ascii="Arial" w:cs="Arial" w:hAnsi="Arial"/>
          <w:sz w:val="24"/>
          <w:szCs w:val="24"/>
          <w:lang w:val="es-ES" w:eastAsia="es-ES"/>
        </w:rPr>
        <w:t xml:space="preserve">alignas, pacientes </w:t>
      </w:r>
      <w:r>
        <w:rPr>
          <w:rFonts w:ascii="Arial" w:cs="Arial" w:hAnsi="Arial"/>
          <w:sz w:val="24"/>
          <w:szCs w:val="24"/>
          <w:lang w:val="es-ES" w:eastAsia="es-ES"/>
        </w:rPr>
        <w:t xml:space="preserve">que fueron </w:t>
      </w:r>
      <w:r>
        <w:rPr>
          <w:rFonts w:ascii="Arial" w:cs="Arial" w:hAnsi="Arial"/>
          <w:sz w:val="24"/>
          <w:szCs w:val="24"/>
          <w:lang w:val="es-ES" w:eastAsia="es-ES"/>
        </w:rPr>
        <w:t xml:space="preserve">tratados con </w:t>
      </w:r>
      <w:r>
        <w:rPr>
          <w:rFonts w:ascii="Arial" w:cs="Arial" w:hAnsi="Arial"/>
          <w:sz w:val="24"/>
          <w:szCs w:val="24"/>
          <w:lang w:val="es-ES" w:eastAsia="es-ES"/>
        </w:rPr>
        <w:t xml:space="preserve">citostáticos o esteroides en dosis superiores a </w:t>
      </w:r>
      <w:r>
        <w:rPr>
          <w:rFonts w:ascii="Arial" w:cs="Arial" w:hAnsi="Arial"/>
          <w:sz w:val="24"/>
          <w:szCs w:val="24"/>
          <w:lang w:val="es-ES" w:eastAsia="es-ES"/>
        </w:rPr>
        <w:t xml:space="preserve">20 mg de prednisona al día o su </w:t>
      </w:r>
      <w:r>
        <w:rPr>
          <w:rFonts w:ascii="Arial" w:cs="Arial" w:hAnsi="Arial"/>
          <w:sz w:val="24"/>
          <w:szCs w:val="24"/>
          <w:lang w:val="es-ES" w:eastAsia="es-ES"/>
        </w:rPr>
        <w:t xml:space="preserve">equivalente durante al menos un mes dentro de los </w:t>
      </w:r>
      <w:r>
        <w:rPr>
          <w:rFonts w:ascii="Arial" w:cs="Arial" w:hAnsi="Arial"/>
          <w:sz w:val="24"/>
          <w:szCs w:val="24"/>
          <w:lang w:val="es-ES" w:eastAsia="es-ES"/>
        </w:rPr>
        <w:t xml:space="preserve">6 meses anteriores a su ingreso, </w:t>
      </w:r>
      <w:r>
        <w:rPr>
          <w:rFonts w:ascii="Arial" w:cs="Arial" w:hAnsi="Arial"/>
          <w:sz w:val="24"/>
          <w:szCs w:val="24"/>
          <w:lang w:val="es-ES" w:eastAsia="es-ES"/>
        </w:rPr>
        <w:t>y el paciente moribundo, donde el deceso por el ep</w:t>
      </w:r>
      <w:r>
        <w:rPr>
          <w:rFonts w:ascii="Arial" w:cs="Arial" w:hAnsi="Arial"/>
          <w:sz w:val="24"/>
          <w:szCs w:val="24"/>
          <w:lang w:val="es-ES" w:eastAsia="es-ES"/>
        </w:rPr>
        <w:t>isodio de N</w:t>
      </w:r>
      <w:r>
        <w:rPr>
          <w:rFonts w:ascii="Arial" w:cs="Arial" w:hAnsi="Arial"/>
          <w:sz w:val="24"/>
          <w:szCs w:val="24"/>
          <w:lang w:val="es-ES" w:eastAsia="es-ES"/>
        </w:rPr>
        <w:t>AC se consideró</w:t>
      </w:r>
      <w:r>
        <w:rPr>
          <w:rFonts w:ascii="Arial" w:cs="Arial" w:hAnsi="Arial"/>
          <w:sz w:val="24"/>
          <w:szCs w:val="24"/>
          <w:lang w:val="es-ES" w:eastAsia="es-ES"/>
        </w:rPr>
        <w:t xml:space="preserve"> como </w:t>
      </w:r>
      <w:r>
        <w:rPr>
          <w:rFonts w:ascii="Arial" w:cs="Arial" w:hAnsi="Arial"/>
          <w:sz w:val="24"/>
          <w:szCs w:val="24"/>
          <w:lang w:val="es-ES" w:eastAsia="es-ES"/>
        </w:rPr>
        <w:t xml:space="preserve">el acontecimiento terminal previsible de su enfermedad crónica de base. </w:t>
      </w:r>
    </w:p>
    <w:p>
      <w:pPr>
        <w:pStyle w:val="style0"/>
        <w:autoSpaceDE w:val="false"/>
        <w:autoSpaceDN w:val="false"/>
        <w:adjustRightInd w:val="false"/>
        <w:spacing w:after="0" w:lineRule="auto" w:line="360"/>
        <w:jc w:val="both"/>
        <w:rPr>
          <w:rFonts w:ascii="Arial" w:cs="Arial" w:hAnsi="Arial"/>
          <w:b/>
          <w:sz w:val="24"/>
          <w:szCs w:val="24"/>
          <w:lang w:val="es-ES" w:eastAsia="es-ES"/>
        </w:rPr>
      </w:pPr>
      <w:r>
        <w:rPr>
          <w:rFonts w:ascii="Arial" w:cs="Arial" w:hAnsi="Arial"/>
          <w:b/>
          <w:sz w:val="24"/>
          <w:szCs w:val="24"/>
          <w:lang w:val="es-ES" w:eastAsia="es-ES"/>
        </w:rPr>
        <w:t xml:space="preserve">Criterios de salida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Pacientes en los cuales no </w:t>
      </w:r>
      <w:r>
        <w:rPr>
          <w:rFonts w:ascii="Arial" w:cs="Arial" w:hAnsi="Arial"/>
          <w:sz w:val="24"/>
          <w:szCs w:val="24"/>
          <w:lang w:val="es-ES" w:eastAsia="es-ES"/>
        </w:rPr>
        <w:t>fue</w:t>
      </w:r>
      <w:r>
        <w:rPr>
          <w:rFonts w:ascii="Arial" w:cs="Arial" w:hAnsi="Arial"/>
          <w:sz w:val="24"/>
          <w:szCs w:val="24"/>
          <w:lang w:val="es-ES" w:eastAsia="es-ES"/>
        </w:rPr>
        <w:t xml:space="preserve"> posible concluir la inv</w:t>
      </w:r>
      <w:r>
        <w:rPr>
          <w:rFonts w:ascii="Arial" w:cs="Arial" w:hAnsi="Arial"/>
          <w:sz w:val="24"/>
          <w:szCs w:val="24"/>
          <w:lang w:val="es-ES" w:eastAsia="es-ES"/>
        </w:rPr>
        <w:t xml:space="preserve">estigación, por abandono de los </w:t>
      </w:r>
      <w:r>
        <w:rPr>
          <w:rFonts w:ascii="Arial" w:cs="Arial" w:hAnsi="Arial"/>
          <w:sz w:val="24"/>
          <w:szCs w:val="24"/>
          <w:lang w:val="es-ES" w:eastAsia="es-ES"/>
        </w:rPr>
        <w:t>servicios antes</w:t>
      </w:r>
      <w:r>
        <w:rPr>
          <w:rFonts w:ascii="Arial" w:cs="Arial" w:hAnsi="Arial"/>
          <w:sz w:val="24"/>
          <w:szCs w:val="24"/>
          <w:lang w:val="es-ES" w:eastAsia="es-ES"/>
        </w:rPr>
        <w:t xml:space="preserve"> citados o que la muerte ocurrió</w:t>
      </w:r>
      <w:r>
        <w:rPr>
          <w:rFonts w:ascii="Arial" w:cs="Arial" w:hAnsi="Arial"/>
          <w:sz w:val="24"/>
          <w:szCs w:val="24"/>
          <w:lang w:val="es-ES" w:eastAsia="es-ES"/>
        </w:rPr>
        <w:t xml:space="preserve"> antes de poder identificar y </w:t>
      </w:r>
      <w:r>
        <w:rPr>
          <w:rFonts w:ascii="Arial" w:cs="Arial" w:hAnsi="Arial"/>
          <w:sz w:val="24"/>
          <w:szCs w:val="24"/>
          <w:lang w:val="es-ES" w:eastAsia="es-ES"/>
        </w:rPr>
        <w:t xml:space="preserve">evaluar las diferentes variables de estudio. </w:t>
      </w:r>
    </w:p>
    <w:p>
      <w:pPr>
        <w:pStyle w:val="style0"/>
        <w:autoSpaceDE w:val="false"/>
        <w:autoSpaceDN w:val="false"/>
        <w:adjustRightInd w:val="false"/>
        <w:spacing w:after="0" w:lineRule="auto" w:line="360"/>
        <w:jc w:val="both"/>
        <w:rPr>
          <w:rFonts w:ascii="Arial" w:cs="Arial" w:hAnsi="Arial"/>
          <w:b/>
          <w:sz w:val="24"/>
          <w:szCs w:val="24"/>
          <w:lang w:val="es-ES" w:eastAsia="es-ES"/>
        </w:rPr>
      </w:pPr>
      <w:r>
        <w:rPr>
          <w:rFonts w:ascii="Arial" w:cs="Arial" w:hAnsi="Arial"/>
          <w:b/>
          <w:sz w:val="24"/>
          <w:szCs w:val="24"/>
          <w:lang w:val="es-ES" w:eastAsia="es-ES"/>
        </w:rPr>
        <w:t xml:space="preserve">Delimitación y operacionalización de variables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Las variables explicativas </w:t>
      </w:r>
      <w:r>
        <w:rPr>
          <w:rFonts w:ascii="Arial" w:cs="Arial" w:hAnsi="Arial"/>
          <w:sz w:val="24"/>
          <w:szCs w:val="24"/>
          <w:lang w:val="es-ES" w:eastAsia="es-ES"/>
        </w:rPr>
        <w:t>fueron</w:t>
      </w:r>
      <w:r>
        <w:rPr>
          <w:rFonts w:ascii="Arial" w:cs="Arial" w:hAnsi="Arial"/>
          <w:sz w:val="24"/>
          <w:szCs w:val="24"/>
          <w:lang w:val="es-ES" w:eastAsia="es-ES"/>
        </w:rPr>
        <w:t xml:space="preserve"> aquellos factores c</w:t>
      </w:r>
      <w:r>
        <w:rPr>
          <w:rFonts w:ascii="Arial" w:cs="Arial" w:hAnsi="Arial"/>
          <w:sz w:val="24"/>
          <w:szCs w:val="24"/>
          <w:lang w:val="es-ES" w:eastAsia="es-ES"/>
        </w:rPr>
        <w:t xml:space="preserve">uya influencia se </w:t>
      </w:r>
      <w:r>
        <w:rPr>
          <w:rFonts w:ascii="Arial" w:cs="Arial" w:hAnsi="Arial"/>
          <w:sz w:val="24"/>
          <w:szCs w:val="24"/>
          <w:lang w:val="es-ES" w:eastAsia="es-ES"/>
        </w:rPr>
        <w:t>evaluó</w:t>
      </w:r>
      <w:r>
        <w:rPr>
          <w:rFonts w:ascii="Arial" w:cs="Arial" w:hAnsi="Arial"/>
          <w:sz w:val="24"/>
          <w:szCs w:val="24"/>
          <w:lang w:val="es-ES" w:eastAsia="es-ES"/>
        </w:rPr>
        <w:t xml:space="preserve"> en el </w:t>
      </w:r>
      <w:r>
        <w:rPr>
          <w:rFonts w:ascii="Arial" w:cs="Arial" w:hAnsi="Arial"/>
          <w:sz w:val="24"/>
          <w:szCs w:val="24"/>
          <w:lang w:val="es-ES" w:eastAsia="es-ES"/>
        </w:rPr>
        <w:t>pronóstico y se operacionalizaro</w:t>
      </w:r>
      <w:r>
        <w:rPr>
          <w:rFonts w:ascii="Arial" w:cs="Arial" w:hAnsi="Arial"/>
          <w:sz w:val="24"/>
          <w:szCs w:val="24"/>
          <w:lang w:val="es-ES" w:eastAsia="es-ES"/>
        </w:rPr>
        <w:t>n</w:t>
      </w:r>
      <w:r>
        <w:rPr>
          <w:rFonts w:ascii="Arial" w:cs="Arial" w:hAnsi="Arial"/>
          <w:sz w:val="24"/>
          <w:szCs w:val="24"/>
          <w:lang w:val="es-ES" w:eastAsia="es-ES"/>
        </w:rPr>
        <w:t xml:space="preserve"> </w:t>
      </w:r>
      <w:r>
        <w:rPr>
          <w:rFonts w:ascii="Arial" w:cs="Arial" w:hAnsi="Arial"/>
          <w:sz w:val="24"/>
          <w:szCs w:val="24"/>
          <w:lang w:val="es-ES" w:eastAsia="es-ES"/>
        </w:rPr>
        <w:t xml:space="preserve">de forma dicotómica (presente o </w:t>
      </w:r>
      <w:r>
        <w:rPr>
          <w:rFonts w:ascii="Arial" w:cs="Arial" w:hAnsi="Arial"/>
          <w:sz w:val="24"/>
          <w:szCs w:val="24"/>
          <w:lang w:val="es-ES" w:eastAsia="es-ES"/>
        </w:rPr>
        <w:t xml:space="preserve">ausente). La muerte se </w:t>
      </w:r>
      <w:r>
        <w:rPr>
          <w:rFonts w:ascii="Arial" w:cs="Arial" w:hAnsi="Arial"/>
          <w:sz w:val="24"/>
          <w:szCs w:val="24"/>
          <w:lang w:val="es-ES" w:eastAsia="es-ES"/>
        </w:rPr>
        <w:t>consider</w:t>
      </w:r>
      <w:r>
        <w:rPr>
          <w:rFonts w:ascii="Arial" w:cs="Arial" w:hAnsi="Arial"/>
          <w:sz w:val="24"/>
          <w:szCs w:val="24"/>
          <w:lang w:val="es-ES" w:eastAsia="es-ES"/>
        </w:rPr>
        <w:t>ó</w:t>
      </w:r>
      <w:r>
        <w:rPr>
          <w:rFonts w:ascii="Arial" w:cs="Arial" w:hAnsi="Arial"/>
          <w:sz w:val="24"/>
          <w:szCs w:val="24"/>
          <w:lang w:val="es-ES" w:eastAsia="es-ES"/>
        </w:rPr>
        <w:t xml:space="preserve"> como va</w:t>
      </w:r>
      <w:r>
        <w:rPr>
          <w:rFonts w:ascii="Arial" w:cs="Arial" w:hAnsi="Arial"/>
          <w:sz w:val="24"/>
          <w:szCs w:val="24"/>
          <w:lang w:val="es-ES" w:eastAsia="es-ES"/>
        </w:rPr>
        <w:t xml:space="preserve">riable marcadora del </w:t>
      </w:r>
      <w:r>
        <w:rPr>
          <w:rFonts w:ascii="Arial" w:cs="Arial" w:hAnsi="Arial"/>
          <w:sz w:val="24"/>
          <w:szCs w:val="24"/>
          <w:lang w:val="es-ES" w:eastAsia="es-ES"/>
        </w:rPr>
        <w:t>pronóstico y se operacionalizó</w:t>
      </w:r>
      <w:r>
        <w:rPr>
          <w:rFonts w:ascii="Arial" w:cs="Arial" w:hAnsi="Arial"/>
          <w:sz w:val="24"/>
          <w:szCs w:val="24"/>
          <w:lang w:val="es-ES" w:eastAsia="es-ES"/>
        </w:rPr>
        <w:t xml:space="preserve">, también, de forma dicotómica (presente o ausente).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El sexo se registró</w:t>
      </w:r>
      <w:r>
        <w:rPr>
          <w:rFonts w:ascii="Arial" w:cs="Arial" w:hAnsi="Arial"/>
          <w:sz w:val="24"/>
          <w:szCs w:val="24"/>
          <w:lang w:val="es-ES" w:eastAsia="es-ES"/>
        </w:rPr>
        <w:t xml:space="preserve"> según el género, en masculino </w:t>
      </w:r>
      <w:r>
        <w:rPr>
          <w:rFonts w:ascii="Arial" w:cs="Arial" w:hAnsi="Arial"/>
          <w:sz w:val="24"/>
          <w:szCs w:val="24"/>
          <w:lang w:val="es-ES" w:eastAsia="es-ES"/>
        </w:rPr>
        <w:t xml:space="preserve">y femenino; la edad se </w:t>
      </w:r>
      <w:r>
        <w:rPr>
          <w:rFonts w:ascii="Arial" w:cs="Arial" w:hAnsi="Arial"/>
          <w:sz w:val="24"/>
          <w:szCs w:val="24"/>
          <w:lang w:val="es-ES" w:eastAsia="es-ES"/>
        </w:rPr>
        <w:t>consideró</w:t>
      </w:r>
      <w:r>
        <w:rPr>
          <w:rFonts w:ascii="Arial" w:cs="Arial" w:hAnsi="Arial"/>
          <w:sz w:val="24"/>
          <w:szCs w:val="24"/>
          <w:lang w:val="es-ES" w:eastAsia="es-ES"/>
        </w:rPr>
        <w:t xml:space="preserve"> </w:t>
      </w:r>
      <w:r>
        <w:rPr>
          <w:rFonts w:ascii="Arial" w:cs="Arial" w:hAnsi="Arial"/>
          <w:sz w:val="24"/>
          <w:szCs w:val="24"/>
          <w:lang w:val="es-ES" w:eastAsia="es-ES"/>
        </w:rPr>
        <w:t xml:space="preserve">en años cumplidos, los pacientes </w:t>
      </w:r>
      <w:r>
        <w:rPr>
          <w:rFonts w:ascii="Arial" w:cs="Arial" w:hAnsi="Arial"/>
          <w:sz w:val="24"/>
          <w:szCs w:val="24"/>
          <w:lang w:val="es-ES" w:eastAsia="es-ES"/>
        </w:rPr>
        <w:t>fueron</w:t>
      </w:r>
      <w:r>
        <w:rPr>
          <w:rFonts w:ascii="Arial" w:cs="Arial" w:hAnsi="Arial"/>
          <w:sz w:val="24"/>
          <w:szCs w:val="24"/>
          <w:lang w:val="es-ES" w:eastAsia="es-ES"/>
        </w:rPr>
        <w:t xml:space="preserve"> clasificados</w:t>
      </w:r>
      <w:r>
        <w:rPr>
          <w:rFonts w:ascii="Arial" w:cs="Arial" w:hAnsi="Arial"/>
          <w:sz w:val="24"/>
          <w:szCs w:val="24"/>
          <w:lang w:val="es-ES" w:eastAsia="es-ES"/>
        </w:rPr>
        <w:t xml:space="preserve"> en 2 cate</w:t>
      </w:r>
      <w:r>
        <w:rPr>
          <w:rFonts w:ascii="Arial" w:cs="Arial" w:hAnsi="Arial"/>
          <w:sz w:val="24"/>
          <w:szCs w:val="24"/>
          <w:lang w:val="es-ES" w:eastAsia="es-ES"/>
        </w:rPr>
        <w:t xml:space="preserve">gorías: con 65 años o </w:t>
      </w:r>
      <w:r>
        <w:rPr>
          <w:rFonts w:ascii="Arial" w:cs="Arial" w:hAnsi="Arial"/>
          <w:sz w:val="24"/>
          <w:szCs w:val="24"/>
          <w:lang w:val="es-ES" w:eastAsia="es-ES"/>
        </w:rPr>
        <w:t xml:space="preserve">menos y mayores de 65 años.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La neumonía multilobar, las alteraciones del nivel d</w:t>
      </w:r>
      <w:r>
        <w:rPr>
          <w:rFonts w:ascii="Arial" w:cs="Arial" w:hAnsi="Arial"/>
          <w:sz w:val="24"/>
          <w:szCs w:val="24"/>
          <w:lang w:val="es-ES" w:eastAsia="es-ES"/>
        </w:rPr>
        <w:t xml:space="preserve">e conciencia (confusión mental, </w:t>
      </w:r>
      <w:r>
        <w:rPr>
          <w:rFonts w:ascii="Arial" w:cs="Arial" w:hAnsi="Arial"/>
          <w:sz w:val="24"/>
          <w:szCs w:val="24"/>
          <w:lang w:val="es-ES" w:eastAsia="es-ES"/>
        </w:rPr>
        <w:t xml:space="preserve">obnubilación, somnolencia, estupor o coma), el </w:t>
      </w:r>
      <w:r>
        <w:rPr>
          <w:rFonts w:ascii="Arial" w:cs="Arial" w:hAnsi="Arial"/>
          <w:sz w:val="24"/>
          <w:szCs w:val="24"/>
          <w:lang w:val="es-ES" w:eastAsia="es-ES"/>
        </w:rPr>
        <w:t xml:space="preserve">choque independientemente de su </w:t>
      </w:r>
      <w:r>
        <w:rPr>
          <w:rFonts w:ascii="Arial" w:cs="Arial" w:hAnsi="Arial"/>
          <w:sz w:val="24"/>
          <w:szCs w:val="24"/>
          <w:lang w:val="es-ES" w:eastAsia="es-ES"/>
        </w:rPr>
        <w:t>causa (hipotensión severa con necesidad de drogas vasopresoras para corregirla) y</w:t>
      </w:r>
      <w:r>
        <w:rPr>
          <w:rFonts w:ascii="Arial" w:cs="Arial" w:hAnsi="Arial"/>
          <w:sz w:val="24"/>
          <w:szCs w:val="24"/>
          <w:lang w:val="es-ES" w:eastAsia="es-ES"/>
        </w:rPr>
        <w:t xml:space="preserve"> </w:t>
      </w:r>
      <w:r>
        <w:rPr>
          <w:rFonts w:ascii="Arial" w:cs="Arial" w:hAnsi="Arial"/>
          <w:sz w:val="24"/>
          <w:szCs w:val="24"/>
          <w:lang w:val="es-ES" w:eastAsia="es-ES"/>
        </w:rPr>
        <w:t xml:space="preserve">la hipoxemia (valores de presión parcial de </w:t>
      </w:r>
      <w:r>
        <w:rPr>
          <w:rFonts w:ascii="Arial" w:cs="Arial" w:hAnsi="Arial"/>
          <w:sz w:val="24"/>
          <w:szCs w:val="24"/>
          <w:lang w:val="es-ES" w:eastAsia="es-ES"/>
        </w:rPr>
        <w:t>oxígeno de 60 mmHg o menos en un</w:t>
      </w:r>
      <w:r>
        <w:rPr>
          <w:rFonts w:ascii="Arial" w:cs="Arial" w:hAnsi="Arial"/>
          <w:sz w:val="24"/>
          <w:szCs w:val="24"/>
          <w:lang w:val="es-ES" w:eastAsia="es-ES"/>
        </w:rPr>
        <w:t xml:space="preserve"> </w:t>
      </w:r>
      <w:r>
        <w:rPr>
          <w:rFonts w:ascii="Arial" w:cs="Arial" w:hAnsi="Arial"/>
          <w:sz w:val="24"/>
          <w:szCs w:val="24"/>
          <w:lang w:val="es-ES" w:eastAsia="es-ES"/>
        </w:rPr>
        <w:t>adulto joven y de media</w:t>
      </w:r>
      <w:r>
        <w:rPr>
          <w:rFonts w:ascii="Arial" w:cs="Arial" w:hAnsi="Arial"/>
          <w:sz w:val="24"/>
          <w:szCs w:val="24"/>
          <w:lang w:val="es-ES" w:eastAsia="es-ES"/>
        </w:rPr>
        <w:t>na</w:t>
      </w:r>
      <w:r>
        <w:rPr>
          <w:rFonts w:ascii="Arial" w:cs="Arial" w:hAnsi="Arial"/>
          <w:sz w:val="24"/>
          <w:szCs w:val="24"/>
          <w:lang w:val="es-ES" w:eastAsia="es-ES"/>
        </w:rPr>
        <w:t xml:space="preserve"> edad, para el anciano se tuvo</w:t>
      </w:r>
      <w:r>
        <w:rPr>
          <w:rFonts w:ascii="Arial" w:cs="Arial" w:hAnsi="Arial"/>
          <w:sz w:val="24"/>
          <w:szCs w:val="24"/>
          <w:lang w:val="es-ES" w:eastAsia="es-ES"/>
        </w:rPr>
        <w:t xml:space="preserve"> en cuenta, el valor </w:t>
      </w:r>
      <w:r>
        <w:rPr>
          <w:rFonts w:ascii="Arial" w:cs="Arial" w:hAnsi="Arial"/>
          <w:sz w:val="24"/>
          <w:szCs w:val="24"/>
          <w:lang w:val="es-ES" w:eastAsia="es-ES"/>
        </w:rPr>
        <w:t>calculado para la edad, según la siguiente fórm</w:t>
      </w:r>
      <w:r>
        <w:rPr>
          <w:rFonts w:ascii="Arial" w:cs="Arial" w:hAnsi="Arial"/>
          <w:sz w:val="24"/>
          <w:szCs w:val="24"/>
          <w:lang w:val="es-ES" w:eastAsia="es-ES"/>
        </w:rPr>
        <w:t xml:space="preserve">ula: </w:t>
      </w:r>
      <w:r>
        <w:rPr>
          <w:rFonts w:ascii="Arial" w:cs="Arial" w:hAnsi="Arial"/>
          <w:sz w:val="24"/>
          <w:szCs w:val="24"/>
          <w:lang w:val="es-ES" w:eastAsia="es-ES"/>
        </w:rPr>
        <w:t>PaO2= 140 - edad en años), fueron</w:t>
      </w:r>
      <w:r>
        <w:rPr>
          <w:rFonts w:ascii="Arial" w:cs="Arial" w:hAnsi="Arial"/>
          <w:sz w:val="24"/>
          <w:szCs w:val="24"/>
          <w:lang w:val="es-ES" w:eastAsia="es-ES"/>
        </w:rPr>
        <w:t xml:space="preserve"> operacionalizadas de forma dicotómica (presente o ausente).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El conte</w:t>
      </w:r>
      <w:r>
        <w:rPr>
          <w:rFonts w:ascii="Arial" w:cs="Arial" w:hAnsi="Arial"/>
          <w:sz w:val="24"/>
          <w:szCs w:val="24"/>
          <w:lang w:val="es-ES" w:eastAsia="es-ES"/>
        </w:rPr>
        <w:t xml:space="preserve">o </w:t>
      </w:r>
      <w:r>
        <w:rPr>
          <w:rFonts w:ascii="Arial" w:cs="Arial" w:hAnsi="Arial"/>
          <w:sz w:val="24"/>
          <w:szCs w:val="24"/>
          <w:lang w:val="es-ES" w:eastAsia="es-ES"/>
        </w:rPr>
        <w:t>total de leucocitos se realizó</w:t>
      </w:r>
      <w:r>
        <w:rPr>
          <w:rFonts w:ascii="Arial" w:cs="Arial" w:hAnsi="Arial"/>
          <w:sz w:val="24"/>
          <w:szCs w:val="24"/>
          <w:lang w:val="es-ES" w:eastAsia="es-ES"/>
        </w:rPr>
        <w:t xml:space="preserve"> según la téc</w:t>
      </w:r>
      <w:r>
        <w:rPr>
          <w:rFonts w:ascii="Arial" w:cs="Arial" w:hAnsi="Arial"/>
          <w:sz w:val="24"/>
          <w:szCs w:val="24"/>
          <w:lang w:val="es-ES" w:eastAsia="es-ES"/>
        </w:rPr>
        <w:t>nica habitual; en este caso, el valor de co</w:t>
      </w:r>
      <w:r>
        <w:rPr>
          <w:rFonts w:ascii="Arial" w:cs="Arial" w:hAnsi="Arial"/>
          <w:sz w:val="24"/>
          <w:szCs w:val="24"/>
          <w:lang w:val="es-ES" w:eastAsia="es-ES"/>
        </w:rPr>
        <w:t>rte estuvo</w:t>
      </w:r>
      <w:r>
        <w:rPr>
          <w:rFonts w:ascii="Arial" w:cs="Arial" w:hAnsi="Arial"/>
          <w:sz w:val="24"/>
          <w:szCs w:val="24"/>
          <w:lang w:val="es-ES" w:eastAsia="es-ES"/>
        </w:rPr>
        <w:t xml:space="preserve"> entre 5</w:t>
      </w:r>
      <w:r>
        <w:rPr>
          <w:rFonts w:ascii="Arial" w:cs="Arial" w:hAnsi="Arial"/>
          <w:sz w:val="24"/>
          <w:szCs w:val="24"/>
          <w:lang w:val="es-ES" w:eastAsia="es-ES"/>
        </w:rPr>
        <w:t xml:space="preserve"> y 10 x 10 9 /L y se determinaro</w:t>
      </w:r>
      <w:r>
        <w:rPr>
          <w:rFonts w:ascii="Arial" w:cs="Arial" w:hAnsi="Arial"/>
          <w:sz w:val="24"/>
          <w:szCs w:val="24"/>
          <w:lang w:val="es-ES" w:eastAsia="es-ES"/>
        </w:rPr>
        <w:t xml:space="preserve">n 2 categorías: no </w:t>
      </w:r>
      <w:r>
        <w:rPr>
          <w:rFonts w:ascii="Arial" w:cs="Arial" w:hAnsi="Arial"/>
          <w:sz w:val="24"/>
          <w:szCs w:val="24"/>
          <w:lang w:val="es-ES" w:eastAsia="es-ES"/>
        </w:rPr>
        <w:t>expuesto, cuando e</w:t>
      </w:r>
      <w:r>
        <w:rPr>
          <w:rFonts w:ascii="Arial" w:cs="Arial" w:hAnsi="Arial"/>
          <w:sz w:val="24"/>
          <w:szCs w:val="24"/>
          <w:lang w:val="es-ES" w:eastAsia="es-ES"/>
        </w:rPr>
        <w:t>l valo</w:t>
      </w:r>
      <w:r>
        <w:rPr>
          <w:rFonts w:ascii="Arial" w:cs="Arial" w:hAnsi="Arial"/>
          <w:sz w:val="24"/>
          <w:szCs w:val="24"/>
          <w:lang w:val="es-ES" w:eastAsia="es-ES"/>
        </w:rPr>
        <w:t>r de los leucocitos se encontraba</w:t>
      </w:r>
      <w:r>
        <w:rPr>
          <w:rFonts w:ascii="Arial" w:cs="Arial" w:hAnsi="Arial"/>
          <w:sz w:val="24"/>
          <w:szCs w:val="24"/>
          <w:lang w:val="es-ES" w:eastAsia="es-ES"/>
        </w:rPr>
        <w:t xml:space="preserve"> ent</w:t>
      </w:r>
      <w:r>
        <w:rPr>
          <w:rFonts w:ascii="Arial" w:cs="Arial" w:hAnsi="Arial"/>
          <w:sz w:val="24"/>
          <w:szCs w:val="24"/>
          <w:lang w:val="es-ES" w:eastAsia="es-ES"/>
        </w:rPr>
        <w:t xml:space="preserve">re 5 y 10 </w:t>
      </w:r>
      <w:r>
        <w:rPr>
          <w:rFonts w:ascii="Arial" w:cs="Arial" w:hAnsi="Arial"/>
          <w:sz w:val="24"/>
          <w:szCs w:val="24"/>
          <w:lang w:val="es-ES" w:eastAsia="es-ES"/>
        </w:rPr>
        <w:t>x 10 9 /L y expuesto, cuando era</w:t>
      </w:r>
      <w:r>
        <w:rPr>
          <w:rFonts w:ascii="Arial" w:cs="Arial" w:hAnsi="Arial"/>
          <w:sz w:val="24"/>
          <w:szCs w:val="24"/>
          <w:lang w:val="es-ES" w:eastAsia="es-ES"/>
        </w:rPr>
        <w:t xml:space="preserve"> mayor que 10 x 10 9 /L (para la leucoc</w:t>
      </w:r>
      <w:r>
        <w:rPr>
          <w:rFonts w:ascii="Arial" w:cs="Arial" w:hAnsi="Arial"/>
          <w:sz w:val="24"/>
          <w:szCs w:val="24"/>
          <w:lang w:val="es-ES" w:eastAsia="es-ES"/>
        </w:rPr>
        <w:t xml:space="preserve">itosis) o menor que 5 x 10 9 /L </w:t>
      </w:r>
      <w:r>
        <w:rPr>
          <w:rFonts w:ascii="Arial" w:cs="Arial" w:hAnsi="Arial"/>
          <w:sz w:val="24"/>
          <w:szCs w:val="24"/>
          <w:lang w:val="es-ES" w:eastAsia="es-ES"/>
        </w:rPr>
        <w:t xml:space="preserve">(para la leucopenia). La urea se </w:t>
      </w:r>
      <w:r>
        <w:rPr>
          <w:rFonts w:ascii="Arial" w:cs="Arial" w:hAnsi="Arial"/>
          <w:sz w:val="24"/>
          <w:szCs w:val="24"/>
          <w:lang w:val="es-ES" w:eastAsia="es-ES"/>
        </w:rPr>
        <w:t>consideró</w:t>
      </w:r>
      <w:r>
        <w:rPr>
          <w:rFonts w:ascii="Arial" w:cs="Arial" w:hAnsi="Arial"/>
          <w:sz w:val="24"/>
          <w:szCs w:val="24"/>
          <w:lang w:val="es-ES" w:eastAsia="es-ES"/>
        </w:rPr>
        <w:t xml:space="preserve"> patológica cuando sus valores </w:t>
      </w:r>
      <w:r>
        <w:rPr>
          <w:rFonts w:ascii="Arial" w:cs="Arial" w:hAnsi="Arial"/>
          <w:sz w:val="24"/>
          <w:szCs w:val="24"/>
          <w:lang w:val="es-ES" w:eastAsia="es-ES"/>
        </w:rPr>
        <w:t>fueron</w:t>
      </w:r>
      <w:r>
        <w:rPr>
          <w:rFonts w:ascii="Arial" w:cs="Arial" w:hAnsi="Arial"/>
          <w:sz w:val="24"/>
          <w:szCs w:val="24"/>
          <w:lang w:val="es-ES" w:eastAsia="es-ES"/>
        </w:rPr>
        <w:t xml:space="preserve"> de 8,3 mmo</w:t>
      </w:r>
      <w:r>
        <w:rPr>
          <w:rFonts w:ascii="Arial" w:cs="Arial" w:hAnsi="Arial"/>
          <w:sz w:val="24"/>
          <w:szCs w:val="24"/>
          <w:lang w:val="es-ES" w:eastAsia="es-ES"/>
        </w:rPr>
        <w:t>l/L o superiores. Se consideró</w:t>
      </w:r>
      <w:r>
        <w:rPr>
          <w:rFonts w:ascii="Arial" w:cs="Arial" w:hAnsi="Arial"/>
          <w:sz w:val="24"/>
          <w:szCs w:val="24"/>
          <w:lang w:val="es-ES" w:eastAsia="es-ES"/>
        </w:rPr>
        <w:t xml:space="preserve"> con anemia</w:t>
      </w:r>
      <w:r>
        <w:rPr>
          <w:rFonts w:ascii="Arial" w:cs="Arial" w:hAnsi="Arial"/>
          <w:sz w:val="24"/>
          <w:szCs w:val="24"/>
          <w:lang w:val="es-ES" w:eastAsia="es-ES"/>
        </w:rPr>
        <w:t xml:space="preserve"> a los pacientes con valores de </w:t>
      </w:r>
      <w:r>
        <w:rPr>
          <w:rFonts w:ascii="Arial" w:cs="Arial" w:hAnsi="Arial"/>
          <w:sz w:val="24"/>
          <w:szCs w:val="24"/>
          <w:lang w:val="es-ES" w:eastAsia="es-ES"/>
        </w:rPr>
        <w:t>hemoglobina inferior a 111 g/L en las mujeres y de 120 g/L en los hombres.</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C</w:t>
      </w:r>
      <w:r>
        <w:rPr>
          <w:rFonts w:ascii="Arial" w:cs="Arial" w:hAnsi="Arial"/>
          <w:sz w:val="24"/>
          <w:szCs w:val="24"/>
          <w:lang w:val="es-ES" w:eastAsia="es-ES"/>
        </w:rPr>
        <w:t xml:space="preserve">omo comorbilidad se </w:t>
      </w:r>
      <w:r>
        <w:rPr>
          <w:rFonts w:ascii="Arial" w:cs="Arial" w:hAnsi="Arial"/>
          <w:sz w:val="24"/>
          <w:szCs w:val="24"/>
          <w:lang w:val="es-ES" w:eastAsia="es-ES"/>
        </w:rPr>
        <w:t>consideraro</w:t>
      </w:r>
      <w:r>
        <w:rPr>
          <w:rFonts w:ascii="Arial" w:cs="Arial" w:hAnsi="Arial"/>
          <w:sz w:val="24"/>
          <w:szCs w:val="24"/>
          <w:lang w:val="es-ES" w:eastAsia="es-ES"/>
        </w:rPr>
        <w:t>n</w:t>
      </w:r>
      <w:r>
        <w:rPr>
          <w:rFonts w:ascii="Arial" w:cs="Arial" w:hAnsi="Arial"/>
          <w:sz w:val="24"/>
          <w:szCs w:val="24"/>
          <w:lang w:val="es-ES" w:eastAsia="es-ES"/>
        </w:rPr>
        <w:t xml:space="preserve"> aquellas pr</w:t>
      </w:r>
      <w:r>
        <w:rPr>
          <w:rFonts w:ascii="Arial" w:cs="Arial" w:hAnsi="Arial"/>
          <w:sz w:val="24"/>
          <w:szCs w:val="24"/>
          <w:lang w:val="es-ES" w:eastAsia="es-ES"/>
        </w:rPr>
        <w:t xml:space="preserve">esentes en el enfermo antes del </w:t>
      </w:r>
      <w:r>
        <w:rPr>
          <w:rFonts w:ascii="Arial" w:cs="Arial" w:hAnsi="Arial"/>
          <w:sz w:val="24"/>
          <w:szCs w:val="24"/>
          <w:lang w:val="es-ES" w:eastAsia="es-ES"/>
        </w:rPr>
        <w:t>ingreso y que</w:t>
      </w:r>
      <w:r>
        <w:rPr>
          <w:rFonts w:ascii="Arial" w:cs="Arial" w:hAnsi="Arial"/>
          <w:sz w:val="24"/>
          <w:szCs w:val="24"/>
          <w:lang w:val="es-ES" w:eastAsia="es-ES"/>
        </w:rPr>
        <w:t xml:space="preserve"> por sus características pudiero</w:t>
      </w:r>
      <w:r>
        <w:rPr>
          <w:rFonts w:ascii="Arial" w:cs="Arial" w:hAnsi="Arial"/>
          <w:sz w:val="24"/>
          <w:szCs w:val="24"/>
          <w:lang w:val="es-ES" w:eastAsia="es-ES"/>
        </w:rPr>
        <w:t xml:space="preserve">n influir </w:t>
      </w:r>
      <w:r>
        <w:rPr>
          <w:rFonts w:ascii="Arial" w:cs="Arial" w:hAnsi="Arial"/>
          <w:sz w:val="24"/>
          <w:szCs w:val="24"/>
          <w:lang w:val="es-ES" w:eastAsia="es-ES"/>
        </w:rPr>
        <w:t xml:space="preserve">en el pronóstico: insuficiencia </w:t>
      </w:r>
      <w:r>
        <w:rPr>
          <w:rFonts w:ascii="Arial" w:cs="Arial" w:hAnsi="Arial"/>
          <w:sz w:val="24"/>
          <w:szCs w:val="24"/>
          <w:lang w:val="es-ES" w:eastAsia="es-ES"/>
        </w:rPr>
        <w:t xml:space="preserve">cardiaca (grados III o IV de la clasificación de </w:t>
      </w:r>
      <w:r>
        <w:rPr>
          <w:rFonts w:ascii="Arial" w:cs="Arial" w:hAnsi="Arial"/>
          <w:sz w:val="24"/>
          <w:szCs w:val="24"/>
          <w:lang w:val="es-ES" w:eastAsia="es-ES"/>
        </w:rPr>
        <w:t xml:space="preserve">la New York Heart Association), </w:t>
      </w:r>
      <w:r>
        <w:rPr>
          <w:rFonts w:ascii="Arial" w:cs="Arial" w:hAnsi="Arial"/>
          <w:sz w:val="24"/>
          <w:szCs w:val="24"/>
          <w:lang w:val="es-ES" w:eastAsia="es-ES"/>
        </w:rPr>
        <w:t>enfermedad renal crónica (E</w:t>
      </w:r>
      <w:r>
        <w:rPr>
          <w:rFonts w:ascii="Arial" w:cs="Arial" w:hAnsi="Arial"/>
          <w:sz w:val="24"/>
          <w:szCs w:val="24"/>
          <w:lang w:val="es-ES" w:eastAsia="es-ES"/>
        </w:rPr>
        <w:t xml:space="preserve">RC), </w:t>
      </w:r>
      <w:r>
        <w:rPr>
          <w:rFonts w:ascii="Arial" w:cs="Arial" w:hAnsi="Arial"/>
          <w:sz w:val="24"/>
          <w:szCs w:val="24"/>
          <w:lang w:val="es-ES" w:eastAsia="es-ES"/>
        </w:rPr>
        <w:t>enfermedad hepática crónica (cirrosis hepática y</w:t>
      </w:r>
      <w:r>
        <w:rPr>
          <w:rFonts w:ascii="Arial" w:cs="Arial" w:hAnsi="Arial"/>
          <w:sz w:val="24"/>
          <w:szCs w:val="24"/>
          <w:lang w:val="es-ES" w:eastAsia="es-ES"/>
        </w:rPr>
        <w:t xml:space="preserve"> hepatitis crónica de cualquier </w:t>
      </w:r>
      <w:r>
        <w:rPr>
          <w:rFonts w:ascii="Arial" w:cs="Arial" w:hAnsi="Arial"/>
          <w:sz w:val="24"/>
          <w:szCs w:val="24"/>
          <w:lang w:val="es-ES" w:eastAsia="es-ES"/>
        </w:rPr>
        <w:t>etiología), neoplasias malignas (con excepción de l</w:t>
      </w:r>
      <w:r>
        <w:rPr>
          <w:rFonts w:ascii="Arial" w:cs="Arial" w:hAnsi="Arial"/>
          <w:sz w:val="24"/>
          <w:szCs w:val="24"/>
          <w:lang w:val="es-ES" w:eastAsia="es-ES"/>
        </w:rPr>
        <w:t xml:space="preserve">as hematológicas) y la diabetes </w:t>
      </w:r>
      <w:r>
        <w:rPr>
          <w:rFonts w:ascii="Arial" w:cs="Arial" w:hAnsi="Arial"/>
          <w:sz w:val="24"/>
          <w:szCs w:val="24"/>
          <w:lang w:val="es-ES" w:eastAsia="es-ES"/>
        </w:rPr>
        <w:t xml:space="preserve">mellitus.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Los datos </w:t>
      </w:r>
      <w:r>
        <w:rPr>
          <w:rFonts w:ascii="Arial" w:cs="Arial" w:hAnsi="Arial"/>
          <w:sz w:val="24"/>
          <w:szCs w:val="24"/>
          <w:lang w:val="es-ES" w:eastAsia="es-ES"/>
        </w:rPr>
        <w:t>fueron</w:t>
      </w:r>
      <w:r>
        <w:rPr>
          <w:rFonts w:ascii="Arial" w:cs="Arial" w:hAnsi="Arial"/>
          <w:sz w:val="24"/>
          <w:szCs w:val="24"/>
          <w:lang w:val="es-ES" w:eastAsia="es-ES"/>
        </w:rPr>
        <w:t xml:space="preserve"> recogidos por </w:t>
      </w:r>
      <w:r>
        <w:rPr>
          <w:rFonts w:ascii="Arial" w:cs="Arial" w:hAnsi="Arial"/>
          <w:sz w:val="24"/>
          <w:szCs w:val="24"/>
          <w:lang w:val="es-ES" w:eastAsia="es-ES"/>
        </w:rPr>
        <w:t>el autor</w:t>
      </w:r>
      <w:r>
        <w:rPr>
          <w:rFonts w:ascii="Arial" w:cs="Arial" w:hAnsi="Arial"/>
          <w:sz w:val="24"/>
          <w:szCs w:val="24"/>
          <w:lang w:val="es-ES" w:eastAsia="es-ES"/>
        </w:rPr>
        <w:t xml:space="preserve"> y col</w:t>
      </w:r>
      <w:r>
        <w:rPr>
          <w:rFonts w:ascii="Arial" w:cs="Arial" w:hAnsi="Arial"/>
          <w:sz w:val="24"/>
          <w:szCs w:val="24"/>
          <w:lang w:val="es-ES" w:eastAsia="es-ES"/>
        </w:rPr>
        <w:t xml:space="preserve">aboradores desde el momento del </w:t>
      </w:r>
      <w:r>
        <w:rPr>
          <w:rFonts w:ascii="Arial" w:cs="Arial" w:hAnsi="Arial"/>
          <w:sz w:val="24"/>
          <w:szCs w:val="24"/>
          <w:lang w:val="es-ES" w:eastAsia="es-ES"/>
        </w:rPr>
        <w:t>ingreso de los pacientes en los servicios mediant</w:t>
      </w:r>
      <w:r>
        <w:rPr>
          <w:rFonts w:ascii="Arial" w:cs="Arial" w:hAnsi="Arial"/>
          <w:sz w:val="24"/>
          <w:szCs w:val="24"/>
          <w:lang w:val="es-ES" w:eastAsia="es-ES"/>
        </w:rPr>
        <w:t xml:space="preserve">e la observación directa de los </w:t>
      </w:r>
      <w:r>
        <w:rPr>
          <w:rFonts w:ascii="Arial" w:cs="Arial" w:hAnsi="Arial"/>
          <w:sz w:val="24"/>
          <w:szCs w:val="24"/>
          <w:lang w:val="es-ES" w:eastAsia="es-ES"/>
        </w:rPr>
        <w:t>casos y la revisión d</w:t>
      </w:r>
      <w:r>
        <w:rPr>
          <w:rFonts w:ascii="Arial" w:cs="Arial" w:hAnsi="Arial"/>
          <w:sz w:val="24"/>
          <w:szCs w:val="24"/>
          <w:lang w:val="es-ES" w:eastAsia="es-ES"/>
        </w:rPr>
        <w:t xml:space="preserve">e </w:t>
      </w:r>
      <w:r>
        <w:rPr>
          <w:rFonts w:ascii="Arial" w:cs="Arial" w:hAnsi="Arial"/>
          <w:sz w:val="24"/>
          <w:szCs w:val="24"/>
          <w:lang w:val="es-ES" w:eastAsia="es-ES"/>
        </w:rPr>
        <w:t>los archivos clínicos (se creó</w:t>
      </w:r>
      <w:r>
        <w:rPr>
          <w:rFonts w:ascii="Arial" w:cs="Arial" w:hAnsi="Arial"/>
          <w:sz w:val="24"/>
          <w:szCs w:val="24"/>
          <w:lang w:val="es-ES" w:eastAsia="es-ES"/>
        </w:rPr>
        <w:t xml:space="preserve"> un</w:t>
      </w:r>
      <w:r>
        <w:rPr>
          <w:rFonts w:ascii="Arial" w:cs="Arial" w:hAnsi="Arial"/>
          <w:sz w:val="24"/>
          <w:szCs w:val="24"/>
          <w:lang w:val="es-ES" w:eastAsia="es-ES"/>
        </w:rPr>
        <w:t>a planil</w:t>
      </w:r>
      <w:r>
        <w:rPr>
          <w:rFonts w:ascii="Arial" w:cs="Arial" w:hAnsi="Arial"/>
          <w:sz w:val="24"/>
          <w:szCs w:val="24"/>
          <w:lang w:val="es-ES" w:eastAsia="es-ES"/>
        </w:rPr>
        <w:t>la para tal efecto). Se inició</w:t>
      </w:r>
      <w:r>
        <w:rPr>
          <w:rFonts w:ascii="Arial" w:cs="Arial" w:hAnsi="Arial"/>
          <w:sz w:val="24"/>
          <w:szCs w:val="24"/>
          <w:lang w:val="es-ES" w:eastAsia="es-ES"/>
        </w:rPr>
        <w:t xml:space="preserve"> desde ese momento la identificación de los fact</w:t>
      </w:r>
      <w:r>
        <w:rPr>
          <w:rFonts w:ascii="Arial" w:cs="Arial" w:hAnsi="Arial"/>
          <w:sz w:val="24"/>
          <w:szCs w:val="24"/>
          <w:lang w:val="es-ES" w:eastAsia="es-ES"/>
        </w:rPr>
        <w:t>ores pronósticos y se indicó</w:t>
      </w:r>
      <w:r>
        <w:rPr>
          <w:rFonts w:ascii="Arial" w:cs="Arial" w:hAnsi="Arial"/>
          <w:sz w:val="24"/>
          <w:szCs w:val="24"/>
          <w:lang w:val="es-ES" w:eastAsia="es-ES"/>
        </w:rPr>
        <w:t xml:space="preserve"> la </w:t>
      </w:r>
      <w:r>
        <w:rPr>
          <w:rFonts w:ascii="Arial" w:cs="Arial" w:hAnsi="Arial"/>
          <w:sz w:val="24"/>
          <w:szCs w:val="24"/>
          <w:lang w:val="es-ES" w:eastAsia="es-ES"/>
        </w:rPr>
        <w:t xml:space="preserve">terapéutica según necesidades del enfermo. </w:t>
      </w:r>
    </w:p>
    <w:p>
      <w:pPr>
        <w:pStyle w:val="style0"/>
        <w:autoSpaceDE w:val="false"/>
        <w:autoSpaceDN w:val="false"/>
        <w:adjustRightInd w:val="false"/>
        <w:spacing w:after="0" w:lineRule="auto" w:line="360"/>
        <w:jc w:val="both"/>
        <w:rPr>
          <w:rFonts w:ascii="Arial" w:cs="Arial" w:hAnsi="Arial"/>
          <w:b/>
          <w:sz w:val="24"/>
          <w:szCs w:val="24"/>
          <w:lang w:val="es-ES" w:eastAsia="es-ES"/>
        </w:rPr>
      </w:pPr>
      <w:r>
        <w:rPr>
          <w:rFonts w:ascii="Arial" w:cs="Arial" w:hAnsi="Arial"/>
          <w:b/>
          <w:sz w:val="24"/>
          <w:szCs w:val="24"/>
          <w:lang w:val="es-ES" w:eastAsia="es-ES"/>
        </w:rPr>
        <w:t xml:space="preserve">Análisis estadístico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La primera y la segunda etapas </w:t>
      </w:r>
      <w:r>
        <w:rPr>
          <w:rFonts w:ascii="Arial" w:cs="Arial" w:hAnsi="Arial"/>
          <w:sz w:val="24"/>
          <w:szCs w:val="24"/>
          <w:lang w:val="es-ES" w:eastAsia="es-ES"/>
        </w:rPr>
        <w:t>se llevaro</w:t>
      </w:r>
      <w:r>
        <w:rPr>
          <w:rFonts w:ascii="Arial" w:cs="Arial" w:hAnsi="Arial"/>
          <w:sz w:val="24"/>
          <w:szCs w:val="24"/>
          <w:lang w:val="es-ES" w:eastAsia="es-ES"/>
        </w:rPr>
        <w:t xml:space="preserve">n a cabo en el primer año de la </w:t>
      </w:r>
      <w:r>
        <w:rPr>
          <w:rFonts w:ascii="Arial" w:cs="Arial" w:hAnsi="Arial"/>
          <w:sz w:val="24"/>
          <w:szCs w:val="24"/>
          <w:lang w:val="es-ES" w:eastAsia="es-ES"/>
        </w:rPr>
        <w:t>investigación, con el</w:t>
      </w:r>
      <w:r>
        <w:rPr>
          <w:rFonts w:ascii="Arial" w:cs="Arial" w:hAnsi="Arial"/>
          <w:sz w:val="24"/>
          <w:szCs w:val="24"/>
          <w:lang w:val="es-ES" w:eastAsia="es-ES"/>
        </w:rPr>
        <w:t xml:space="preserve"> propósito de obtener el índice.</w:t>
      </w:r>
    </w:p>
    <w:p>
      <w:pPr>
        <w:pStyle w:val="style0"/>
        <w:autoSpaceDE w:val="false"/>
        <w:autoSpaceDN w:val="false"/>
        <w:adjustRightInd w:val="false"/>
        <w:spacing w:after="0" w:lineRule="auto" w:line="360"/>
        <w:jc w:val="both"/>
        <w:rPr>
          <w:rFonts w:ascii="Arial" w:cs="Arial" w:hAnsi="Arial"/>
          <w:sz w:val="24"/>
          <w:szCs w:val="24"/>
          <w:u w:val="single"/>
          <w:lang w:val="es-ES" w:eastAsia="es-ES"/>
        </w:rPr>
      </w:pPr>
      <w:r>
        <w:rPr>
          <w:rFonts w:ascii="Arial" w:cs="Arial" w:hAnsi="Arial"/>
          <w:sz w:val="24"/>
          <w:szCs w:val="24"/>
          <w:lang w:val="es-ES" w:eastAsia="es-ES"/>
        </w:rPr>
        <w:t xml:space="preserve">- </w:t>
      </w:r>
      <w:r>
        <w:rPr>
          <w:rFonts w:ascii="Arial" w:cs="Arial" w:hAnsi="Arial"/>
          <w:sz w:val="24"/>
          <w:szCs w:val="24"/>
          <w:u w:val="single"/>
          <w:lang w:val="es-ES" w:eastAsia="es-ES"/>
        </w:rPr>
        <w:t xml:space="preserve">Primera etapa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Se basó</w:t>
      </w:r>
      <w:r>
        <w:rPr>
          <w:rFonts w:ascii="Arial" w:cs="Arial" w:hAnsi="Arial"/>
          <w:sz w:val="24"/>
          <w:szCs w:val="24"/>
          <w:lang w:val="es-ES" w:eastAsia="es-ES"/>
        </w:rPr>
        <w:t xml:space="preserve"> en una est</w:t>
      </w:r>
      <w:r>
        <w:rPr>
          <w:rFonts w:ascii="Arial" w:cs="Arial" w:hAnsi="Arial"/>
          <w:sz w:val="24"/>
          <w:szCs w:val="24"/>
          <w:lang w:val="es-ES" w:eastAsia="es-ES"/>
        </w:rPr>
        <w:t>rategia univariada</w:t>
      </w:r>
      <w:r>
        <w:rPr>
          <w:rFonts w:ascii="Arial" w:cs="Arial" w:hAnsi="Arial"/>
          <w:sz w:val="24"/>
          <w:szCs w:val="24"/>
          <w:lang w:val="es-ES" w:eastAsia="es-ES"/>
        </w:rPr>
        <w:t xml:space="preserve"> que consistió</w:t>
      </w:r>
      <w:r>
        <w:rPr>
          <w:rFonts w:ascii="Arial" w:cs="Arial" w:hAnsi="Arial"/>
          <w:sz w:val="24"/>
          <w:szCs w:val="24"/>
          <w:lang w:val="es-ES" w:eastAsia="es-ES"/>
        </w:rPr>
        <w:t xml:space="preserve"> en la determinación del riesgo </w:t>
      </w:r>
      <w:r>
        <w:rPr>
          <w:rFonts w:ascii="Arial" w:cs="Arial" w:hAnsi="Arial"/>
          <w:sz w:val="24"/>
          <w:szCs w:val="24"/>
          <w:lang w:val="es-ES" w:eastAsia="es-ES"/>
        </w:rPr>
        <w:t>relativo (RR) para cada uno de los probables fac</w:t>
      </w:r>
      <w:r>
        <w:rPr>
          <w:rFonts w:ascii="Arial" w:cs="Arial" w:hAnsi="Arial"/>
          <w:sz w:val="24"/>
          <w:szCs w:val="24"/>
          <w:lang w:val="es-ES" w:eastAsia="es-ES"/>
        </w:rPr>
        <w:t xml:space="preserve">tores pronósticos de muerte por </w:t>
      </w:r>
      <w:r>
        <w:rPr>
          <w:rFonts w:ascii="Arial" w:cs="Arial" w:hAnsi="Arial"/>
          <w:sz w:val="24"/>
          <w:szCs w:val="24"/>
          <w:lang w:val="es-ES" w:eastAsia="es-ES"/>
        </w:rPr>
        <w:t>NAC, así como en la estimación de sus intervalos de confianza al 95 % (IC 95 %).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Se aprobó</w:t>
      </w:r>
      <w:r>
        <w:rPr>
          <w:rFonts w:ascii="Arial" w:cs="Arial" w:hAnsi="Arial"/>
          <w:sz w:val="24"/>
          <w:szCs w:val="24"/>
          <w:lang w:val="es-ES" w:eastAsia="es-ES"/>
        </w:rPr>
        <w:t xml:space="preserve"> la hipótesis de que el RR poblacional </w:t>
      </w:r>
      <w:r>
        <w:rPr>
          <w:rFonts w:ascii="Arial" w:cs="Arial" w:hAnsi="Arial"/>
          <w:sz w:val="24"/>
          <w:szCs w:val="24"/>
          <w:lang w:val="es-ES" w:eastAsia="es-ES"/>
        </w:rPr>
        <w:t xml:space="preserve">sea significativo mayor de 1, con </w:t>
      </w:r>
      <w:r>
        <w:rPr>
          <w:rFonts w:ascii="Arial" w:cs="Arial" w:hAnsi="Arial"/>
          <w:sz w:val="24"/>
          <w:szCs w:val="24"/>
          <w:lang w:val="es-ES" w:eastAsia="es-ES"/>
        </w:rPr>
        <w:t xml:space="preserve">un nivel de significación estadística de p &lt; </w:t>
      </w:r>
      <w:r>
        <w:rPr>
          <w:rFonts w:ascii="Arial" w:cs="Arial" w:hAnsi="Arial"/>
          <w:sz w:val="24"/>
          <w:szCs w:val="24"/>
          <w:lang w:val="es-ES" w:eastAsia="es-ES"/>
        </w:rPr>
        <w:t xml:space="preserve">0,05. Para cada variable se </w:t>
      </w:r>
      <w:r>
        <w:rPr>
          <w:rFonts w:ascii="Arial" w:cs="Arial" w:hAnsi="Arial"/>
          <w:sz w:val="24"/>
          <w:szCs w:val="24"/>
          <w:lang w:val="es-ES" w:eastAsia="es-ES"/>
        </w:rPr>
        <w:t>tuvo</w:t>
      </w:r>
      <w:r>
        <w:rPr>
          <w:rFonts w:ascii="Arial" w:cs="Arial" w:hAnsi="Arial"/>
          <w:sz w:val="24"/>
          <w:szCs w:val="24"/>
          <w:lang w:val="es-ES" w:eastAsia="es-ES"/>
        </w:rPr>
        <w:t xml:space="preserve"> </w:t>
      </w:r>
      <w:r>
        <w:rPr>
          <w:rFonts w:ascii="Arial" w:cs="Arial" w:hAnsi="Arial"/>
          <w:sz w:val="24"/>
          <w:szCs w:val="24"/>
          <w:lang w:val="es-ES" w:eastAsia="es-ES"/>
        </w:rPr>
        <w:t>en</w:t>
      </w:r>
      <w:r>
        <w:rPr>
          <w:rFonts w:ascii="Arial" w:cs="Arial" w:hAnsi="Arial"/>
          <w:sz w:val="24"/>
          <w:szCs w:val="24"/>
          <w:lang w:val="es-ES" w:eastAsia="es-ES"/>
        </w:rPr>
        <w:t xml:space="preserve"> </w:t>
      </w:r>
      <w:r>
        <w:rPr>
          <w:rFonts w:ascii="Arial" w:cs="Arial" w:hAnsi="Arial"/>
          <w:sz w:val="24"/>
          <w:szCs w:val="24"/>
          <w:lang w:val="es-ES" w:eastAsia="es-ES"/>
        </w:rPr>
        <w:t>cuenta la hipótesis</w:t>
      </w:r>
      <w:r>
        <w:rPr>
          <w:rFonts w:ascii="Arial" w:cs="Arial" w:hAnsi="Arial"/>
          <w:sz w:val="24"/>
          <w:szCs w:val="24"/>
          <w:lang w:val="es-ES" w:eastAsia="es-ES"/>
        </w:rPr>
        <w:t xml:space="preserve"> nula de que su distribución sea</w:t>
      </w:r>
      <w:r>
        <w:rPr>
          <w:rFonts w:ascii="Arial" w:cs="Arial" w:hAnsi="Arial"/>
          <w:sz w:val="24"/>
          <w:szCs w:val="24"/>
          <w:lang w:val="es-ES" w:eastAsia="es-ES"/>
        </w:rPr>
        <w:t xml:space="preserve"> igual en vivos que en fallecidos.</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El estadígrafo utilizado con este fin </w:t>
      </w:r>
      <w:r>
        <w:rPr>
          <w:rFonts w:ascii="Arial" w:cs="Arial" w:hAnsi="Arial"/>
          <w:sz w:val="24"/>
          <w:szCs w:val="24"/>
          <w:lang w:val="es-ES" w:eastAsia="es-ES"/>
        </w:rPr>
        <w:t>fue</w:t>
      </w:r>
      <w:r>
        <w:rPr>
          <w:rFonts w:ascii="Arial" w:cs="Arial" w:hAnsi="Arial"/>
          <w:sz w:val="24"/>
          <w:szCs w:val="24"/>
          <w:lang w:val="es-ES" w:eastAsia="es-ES"/>
        </w:rPr>
        <w:t xml:space="preserve"> la </w:t>
      </w:r>
      <w:r>
        <w:rPr>
          <w:rFonts w:ascii="Arial" w:cs="Arial" w:hAnsi="Arial"/>
          <w:sz w:val="24"/>
          <w:szCs w:val="24"/>
          <w:lang w:val="es-ES" w:eastAsia="es-ES"/>
        </w:rPr>
        <w:t xml:space="preserve">t de Student para las variables </w:t>
      </w:r>
      <w:r>
        <w:rPr>
          <w:rFonts w:ascii="Arial" w:cs="Arial" w:hAnsi="Arial"/>
          <w:sz w:val="24"/>
          <w:szCs w:val="24"/>
          <w:lang w:val="es-ES" w:eastAsia="es-ES"/>
        </w:rPr>
        <w:t xml:space="preserve">cuantitativas y Ji cuadrado de Pearson para las variables cualitativas.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 </w:t>
      </w:r>
      <w:r>
        <w:rPr>
          <w:rFonts w:ascii="Arial" w:cs="Arial" w:hAnsi="Arial"/>
          <w:sz w:val="24"/>
          <w:szCs w:val="24"/>
          <w:u w:val="single"/>
          <w:lang w:val="es-ES" w:eastAsia="es-ES"/>
        </w:rPr>
        <w:t>Segunda etapa</w:t>
      </w:r>
      <w:r>
        <w:rPr>
          <w:rFonts w:ascii="Arial" w:cs="Arial" w:hAnsi="Arial"/>
          <w:sz w:val="24"/>
          <w:szCs w:val="24"/>
          <w:lang w:val="es-ES" w:eastAsia="es-ES"/>
        </w:rPr>
        <w:t xml:space="preserve"> </w:t>
      </w:r>
    </w:p>
    <w:p>
      <w:pPr>
        <w:pStyle w:val="style0"/>
        <w:spacing w:after="0" w:lineRule="auto" w:line="360"/>
        <w:jc w:val="both"/>
        <w:outlineLvl w:val="0"/>
        <w:rPr>
          <w:rFonts w:ascii="Arial" w:cs="Arial" w:hAnsi="Arial"/>
          <w:sz w:val="24"/>
          <w:szCs w:val="24"/>
        </w:rPr>
      </w:pPr>
      <w:r>
        <w:rPr>
          <w:rFonts w:ascii="Arial" w:cs="Arial" w:hAnsi="Arial"/>
          <w:sz w:val="24"/>
          <w:szCs w:val="24"/>
          <w:lang w:val="es-ES" w:eastAsia="es-ES"/>
        </w:rPr>
        <w:t>A</w:t>
      </w:r>
      <w:r>
        <w:rPr>
          <w:rFonts w:ascii="Arial" w:cs="Arial" w:hAnsi="Arial"/>
          <w:sz w:val="24"/>
          <w:szCs w:val="24"/>
          <w:lang w:val="es-ES" w:eastAsia="es-ES"/>
        </w:rPr>
        <w:t>ná</w:t>
      </w:r>
      <w:r>
        <w:rPr>
          <w:rFonts w:ascii="Arial" w:cs="Arial" w:hAnsi="Arial"/>
          <w:sz w:val="24"/>
          <w:szCs w:val="24"/>
          <w:lang w:val="es-ES" w:eastAsia="es-ES"/>
        </w:rPr>
        <w:t>lisis multivariado: se utilizó</w:t>
      </w:r>
      <w:r>
        <w:rPr>
          <w:rFonts w:ascii="Arial" w:cs="Arial" w:hAnsi="Arial"/>
          <w:sz w:val="24"/>
          <w:szCs w:val="24"/>
          <w:lang w:val="es-ES" w:eastAsia="es-ES"/>
        </w:rPr>
        <w:t xml:space="preserve"> la regresión </w:t>
      </w:r>
      <w:r>
        <w:rPr>
          <w:rFonts w:ascii="Arial" w:cs="Arial" w:hAnsi="Arial"/>
          <w:sz w:val="24"/>
          <w:szCs w:val="24"/>
          <w:lang w:val="es-ES" w:eastAsia="es-ES"/>
        </w:rPr>
        <w:t>logística binaria</w:t>
      </w:r>
      <w:r>
        <w:rPr>
          <w:rFonts w:ascii="Arial" w:cs="Arial" w:hAnsi="Arial"/>
          <w:sz w:val="24"/>
          <w:szCs w:val="24"/>
          <w:lang w:val="es-ES" w:eastAsia="es-ES"/>
        </w:rPr>
        <w:t xml:space="preserve"> para identificar los</w:t>
      </w:r>
      <w:r>
        <w:rPr>
          <w:rFonts w:ascii="Arial" w:cs="Arial" w:hAnsi="Arial"/>
          <w:sz w:val="24"/>
          <w:szCs w:val="24"/>
          <w:lang w:val="es-ES" w:eastAsia="es-ES"/>
        </w:rPr>
        <w:t xml:space="preserve"> factores que increment</w:t>
      </w:r>
      <w:r>
        <w:rPr>
          <w:rFonts w:ascii="Arial" w:cs="Arial" w:hAnsi="Arial"/>
          <w:sz w:val="24"/>
          <w:szCs w:val="24"/>
          <w:lang w:val="es-ES" w:eastAsia="es-ES"/>
        </w:rPr>
        <w:t>a</w:t>
      </w:r>
      <w:r>
        <w:rPr>
          <w:rFonts w:ascii="Arial" w:cs="Arial" w:hAnsi="Arial"/>
          <w:sz w:val="24"/>
          <w:szCs w:val="24"/>
          <w:lang w:val="es-ES" w:eastAsia="es-ES"/>
        </w:rPr>
        <w:t>n</w:t>
      </w:r>
      <w:r>
        <w:rPr>
          <w:rFonts w:ascii="Arial" w:cs="Arial" w:hAnsi="Arial"/>
          <w:sz w:val="24"/>
          <w:szCs w:val="24"/>
          <w:lang w:val="es-ES" w:eastAsia="es-ES"/>
        </w:rPr>
        <w:t xml:space="preserve"> de forma indep</w:t>
      </w:r>
      <w:r>
        <w:rPr>
          <w:rFonts w:ascii="Arial" w:cs="Arial" w:hAnsi="Arial"/>
          <w:sz w:val="24"/>
          <w:szCs w:val="24"/>
          <w:lang w:val="es-ES" w:eastAsia="es-ES"/>
        </w:rPr>
        <w:t xml:space="preserve">endiente el riesgo de morir por </w:t>
      </w:r>
      <w:r>
        <w:rPr>
          <w:rFonts w:ascii="Arial" w:cs="Arial" w:hAnsi="Arial"/>
          <w:sz w:val="24"/>
          <w:szCs w:val="24"/>
          <w:lang w:val="es-ES" w:eastAsia="es-ES"/>
        </w:rPr>
        <w:t>NAC</w:t>
      </w:r>
      <w:r>
        <w:rPr>
          <w:rFonts w:ascii="Arial" w:cs="Arial" w:hAnsi="Arial"/>
          <w:color w:val="000000"/>
          <w:sz w:val="24"/>
          <w:szCs w:val="24"/>
        </w:rPr>
        <w:t xml:space="preserve"> </w:t>
      </w:r>
      <w:r>
        <w:rPr>
          <w:rFonts w:ascii="Arial" w:cs="Arial" w:hAnsi="Arial"/>
          <w:color w:val="000000"/>
          <w:sz w:val="24"/>
          <w:szCs w:val="24"/>
        </w:rPr>
        <w:t>en los pacientes con enfermedad pulmonar obstructiva crónica.</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 </w:t>
      </w:r>
      <w:r>
        <w:rPr>
          <w:rFonts w:ascii="Arial" w:cs="Arial" w:hAnsi="Arial"/>
          <w:sz w:val="24"/>
          <w:szCs w:val="24"/>
          <w:u w:val="single"/>
          <w:lang w:val="es-ES" w:eastAsia="es-ES"/>
        </w:rPr>
        <w:t>Tercera etapa</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Construcción del índice pronóstico</w:t>
      </w:r>
      <w:r>
        <w:rPr>
          <w:rFonts w:ascii="Arial" w:cs="Arial" w:hAnsi="Arial"/>
          <w:sz w:val="24"/>
          <w:szCs w:val="24"/>
          <w:lang w:val="es-ES" w:eastAsia="es-ES"/>
        </w:rPr>
        <w:t xml:space="preserve">: el índice </w:t>
      </w:r>
      <w:r>
        <w:rPr>
          <w:rFonts w:ascii="Arial" w:cs="Arial" w:hAnsi="Arial"/>
          <w:sz w:val="24"/>
          <w:szCs w:val="24"/>
          <w:lang w:val="es-ES" w:eastAsia="es-ES"/>
        </w:rPr>
        <w:t>estuvo</w:t>
      </w:r>
      <w:r>
        <w:rPr>
          <w:rFonts w:ascii="Arial" w:cs="Arial" w:hAnsi="Arial"/>
          <w:sz w:val="24"/>
          <w:szCs w:val="24"/>
          <w:lang w:val="es-ES" w:eastAsia="es-ES"/>
        </w:rPr>
        <w:t xml:space="preserve"> fo</w:t>
      </w:r>
      <w:r>
        <w:rPr>
          <w:rFonts w:ascii="Arial" w:cs="Arial" w:hAnsi="Arial"/>
          <w:sz w:val="24"/>
          <w:szCs w:val="24"/>
          <w:lang w:val="es-ES" w:eastAsia="es-ES"/>
        </w:rPr>
        <w:t>rmado por ítems que se integraron en un índice global que tomó</w:t>
      </w:r>
      <w:r>
        <w:rPr>
          <w:rFonts w:ascii="Arial" w:cs="Arial" w:hAnsi="Arial"/>
          <w:sz w:val="24"/>
          <w:szCs w:val="24"/>
          <w:lang w:val="es-ES" w:eastAsia="es-ES"/>
        </w:rPr>
        <w:t xml:space="preserve"> la forma </w:t>
      </w:r>
      <w:r>
        <w:rPr>
          <w:rFonts w:ascii="Arial" w:cs="Arial" w:hAnsi="Arial"/>
          <w:sz w:val="24"/>
          <w:szCs w:val="24"/>
          <w:lang w:val="es-ES" w:eastAsia="es-ES"/>
        </w:rPr>
        <w:t xml:space="preserve">de una combinación lineal entre los ítems: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I= W1X1 + W2X2 + …..+ WkXk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Donde: </w:t>
      </w:r>
      <w:r>
        <w:rPr>
          <w:rFonts w:ascii="Arial" w:cs="Arial" w:hAnsi="Arial"/>
          <w:sz w:val="24"/>
          <w:szCs w:val="24"/>
          <w:lang w:val="es-ES" w:eastAsia="es-ES"/>
        </w:rPr>
        <w:t xml:space="preserve">Xi: </w:t>
      </w:r>
      <w:r>
        <w:rPr>
          <w:rFonts w:ascii="Arial" w:cs="Arial" w:hAnsi="Arial"/>
          <w:sz w:val="24"/>
          <w:szCs w:val="24"/>
          <w:lang w:val="es-ES" w:eastAsia="es-ES"/>
        </w:rPr>
        <w:t>i-ésima variable (</w:t>
      </w:r>
      <w:r>
        <w:rPr>
          <w:rFonts w:ascii="Arial" w:cs="Arial" w:hAnsi="Arial"/>
          <w:sz w:val="24"/>
          <w:szCs w:val="24"/>
          <w:lang w:val="es-ES" w:eastAsia="es-ES"/>
        </w:rPr>
        <w:t>f</w:t>
      </w:r>
      <w:r>
        <w:rPr>
          <w:rFonts w:ascii="Arial" w:cs="Arial" w:hAnsi="Arial"/>
          <w:sz w:val="24"/>
          <w:szCs w:val="24"/>
          <w:lang w:val="es-ES" w:eastAsia="es-ES"/>
        </w:rPr>
        <w:t xml:space="preserve">actor pronóstico independiente) y </w:t>
      </w:r>
      <w:r>
        <w:rPr>
          <w:rFonts w:ascii="Arial" w:cs="Arial" w:hAnsi="Arial"/>
          <w:sz w:val="24"/>
          <w:szCs w:val="24"/>
          <w:lang w:val="es-ES" w:eastAsia="es-ES"/>
        </w:rPr>
        <w:t>Wi: peso escogido para dicha variable (</w:t>
      </w:r>
      <w:r>
        <w:rPr>
          <w:rFonts w:ascii="Arial" w:cs="Arial" w:hAnsi="Arial"/>
          <w:sz w:val="24"/>
          <w:szCs w:val="24"/>
          <w:lang w:val="es-ES" w:eastAsia="es-ES"/>
        </w:rPr>
        <w:t xml:space="preserve">coeficiente de regresión </w:t>
      </w:r>
      <w:r>
        <w:rPr>
          <w:rFonts w:ascii="Arial" w:cs="Arial" w:hAnsi="Arial"/>
          <w:sz w:val="24"/>
          <w:szCs w:val="24"/>
          <w:lang w:val="es-ES" w:eastAsia="es-ES"/>
        </w:rPr>
        <w:t xml:space="preserve">y aproximado a números enteros).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Se procedió</w:t>
      </w:r>
      <w:r>
        <w:rPr>
          <w:rFonts w:ascii="Arial" w:cs="Arial" w:hAnsi="Arial"/>
          <w:sz w:val="24"/>
          <w:szCs w:val="24"/>
          <w:lang w:val="es-ES" w:eastAsia="es-ES"/>
        </w:rPr>
        <w:t xml:space="preserve"> posteriormente a clasificar el riesgo c</w:t>
      </w:r>
      <w:r>
        <w:rPr>
          <w:rFonts w:ascii="Arial" w:cs="Arial" w:hAnsi="Arial"/>
          <w:sz w:val="24"/>
          <w:szCs w:val="24"/>
          <w:lang w:val="es-ES" w:eastAsia="es-ES"/>
        </w:rPr>
        <w:t xml:space="preserve">on una escala ordinal enmarcada </w:t>
      </w:r>
      <w:r>
        <w:rPr>
          <w:rFonts w:ascii="Arial" w:cs="Arial" w:hAnsi="Arial"/>
          <w:sz w:val="24"/>
          <w:szCs w:val="24"/>
          <w:lang w:val="es-ES" w:eastAsia="es-ES"/>
        </w:rPr>
        <w:t xml:space="preserve">por los percentiles 50 y 90; </w:t>
      </w:r>
      <w:r>
        <w:rPr>
          <w:rFonts w:ascii="Arial" w:cs="Arial" w:hAnsi="Arial"/>
          <w:sz w:val="24"/>
          <w:szCs w:val="24"/>
          <w:lang w:val="es-ES" w:eastAsia="es-ES"/>
        </w:rPr>
        <w:t>y se propuso</w:t>
      </w:r>
      <w:r>
        <w:rPr>
          <w:rFonts w:ascii="Arial" w:cs="Arial" w:hAnsi="Arial"/>
          <w:sz w:val="24"/>
          <w:szCs w:val="24"/>
          <w:lang w:val="es-ES" w:eastAsia="es-ES"/>
        </w:rPr>
        <w:t xml:space="preserve"> </w:t>
      </w:r>
      <w:r>
        <w:rPr>
          <w:rFonts w:ascii="Arial" w:cs="Arial" w:hAnsi="Arial"/>
          <w:sz w:val="24"/>
          <w:szCs w:val="24"/>
          <w:lang w:val="es-ES" w:eastAsia="es-ES"/>
        </w:rPr>
        <w:t>un índice con</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3 categorías de menor a mayor riesgo (categoría</w:t>
      </w:r>
      <w:r>
        <w:rPr>
          <w:rFonts w:ascii="Arial" w:cs="Arial" w:hAnsi="Arial"/>
          <w:sz w:val="24"/>
          <w:szCs w:val="24"/>
          <w:lang w:val="es-ES" w:eastAsia="es-ES"/>
        </w:rPr>
        <w:t xml:space="preserve"> </w:t>
      </w:r>
      <w:r>
        <w:rPr>
          <w:rFonts w:ascii="Arial" w:cs="Arial" w:hAnsi="Arial"/>
          <w:sz w:val="24"/>
          <w:szCs w:val="24"/>
          <w:lang w:val="es-ES" w:eastAsia="es-ES"/>
        </w:rPr>
        <w:t>1</w:t>
      </w:r>
      <w:r>
        <w:rPr>
          <w:rFonts w:ascii="Arial" w:cs="Arial" w:hAnsi="Arial"/>
          <w:sz w:val="24"/>
          <w:szCs w:val="24"/>
          <w:lang w:val="es-ES" w:eastAsia="es-ES"/>
        </w:rPr>
        <w:t xml:space="preserve"> [riesgo bajo]: 0 a </w:t>
      </w:r>
      <w:r>
        <w:rPr>
          <w:rFonts w:ascii="Arial" w:cs="Arial" w:hAnsi="Arial"/>
          <w:sz w:val="24"/>
          <w:szCs w:val="24"/>
          <w:lang w:val="es-ES" w:eastAsia="es-ES"/>
        </w:rPr>
        <w:t>3</w:t>
      </w:r>
      <w:r>
        <w:rPr>
          <w:rFonts w:ascii="Arial" w:cs="Arial" w:hAnsi="Arial"/>
          <w:sz w:val="24"/>
          <w:szCs w:val="24"/>
          <w:lang w:val="es-ES" w:eastAsia="es-ES"/>
        </w:rPr>
        <w:t xml:space="preserve"> puntos; </w:t>
      </w:r>
      <w:r>
        <w:rPr>
          <w:rFonts w:ascii="Arial" w:cs="Arial" w:hAnsi="Arial"/>
          <w:sz w:val="24"/>
          <w:szCs w:val="24"/>
          <w:lang w:val="es-ES" w:eastAsia="es-ES"/>
        </w:rPr>
        <w:t xml:space="preserve">categoría </w:t>
      </w:r>
      <w:r>
        <w:rPr>
          <w:rFonts w:ascii="Arial" w:cs="Arial" w:hAnsi="Arial"/>
          <w:sz w:val="24"/>
          <w:szCs w:val="24"/>
          <w:lang w:val="es-ES" w:eastAsia="es-ES"/>
        </w:rPr>
        <w:t xml:space="preserve">2 </w:t>
      </w:r>
      <w:r>
        <w:rPr>
          <w:rFonts w:ascii="Arial" w:cs="Arial" w:hAnsi="Arial"/>
          <w:sz w:val="24"/>
          <w:szCs w:val="24"/>
          <w:lang w:val="es-ES" w:eastAsia="es-ES"/>
        </w:rPr>
        <w:t xml:space="preserve">[riesgo moderado]: </w:t>
      </w:r>
      <w:r>
        <w:rPr>
          <w:rFonts w:ascii="Arial" w:cs="Arial" w:hAnsi="Arial"/>
          <w:sz w:val="24"/>
          <w:szCs w:val="24"/>
          <w:lang w:val="es-ES" w:eastAsia="es-ES"/>
        </w:rPr>
        <w:t>4</w:t>
      </w:r>
      <w:r>
        <w:rPr>
          <w:rFonts w:ascii="Arial" w:cs="Arial" w:hAnsi="Arial"/>
          <w:sz w:val="24"/>
          <w:szCs w:val="24"/>
          <w:lang w:val="es-ES" w:eastAsia="es-ES"/>
        </w:rPr>
        <w:t xml:space="preserve"> a 1</w:t>
      </w:r>
      <w:r>
        <w:rPr>
          <w:rFonts w:ascii="Arial" w:cs="Arial" w:hAnsi="Arial"/>
          <w:sz w:val="24"/>
          <w:szCs w:val="24"/>
          <w:lang w:val="es-ES" w:eastAsia="es-ES"/>
        </w:rPr>
        <w:t>1</w:t>
      </w:r>
      <w:r>
        <w:rPr>
          <w:rFonts w:ascii="Arial" w:cs="Arial" w:hAnsi="Arial"/>
          <w:sz w:val="24"/>
          <w:szCs w:val="24"/>
          <w:lang w:val="es-ES" w:eastAsia="es-ES"/>
        </w:rPr>
        <w:t xml:space="preserve"> puntos y categoría </w:t>
      </w:r>
      <w:r>
        <w:rPr>
          <w:rFonts w:ascii="Arial" w:cs="Arial" w:hAnsi="Arial"/>
          <w:sz w:val="24"/>
          <w:szCs w:val="24"/>
          <w:lang w:val="es-ES" w:eastAsia="es-ES"/>
        </w:rPr>
        <w:t>3</w:t>
      </w:r>
      <w:r>
        <w:rPr>
          <w:rFonts w:ascii="Arial" w:cs="Arial" w:hAnsi="Arial"/>
          <w:sz w:val="24"/>
          <w:szCs w:val="24"/>
          <w:lang w:val="es-ES" w:eastAsia="es-ES"/>
        </w:rPr>
        <w:t xml:space="preserve"> [riesgo alto]: 1</w:t>
      </w:r>
      <w:r>
        <w:rPr>
          <w:rFonts w:ascii="Arial" w:cs="Arial" w:hAnsi="Arial"/>
          <w:sz w:val="24"/>
          <w:szCs w:val="24"/>
          <w:lang w:val="es-ES" w:eastAsia="es-ES"/>
        </w:rPr>
        <w:t>2</w:t>
      </w:r>
      <w:r>
        <w:rPr>
          <w:rFonts w:ascii="Arial" w:cs="Arial" w:hAnsi="Arial"/>
          <w:sz w:val="24"/>
          <w:szCs w:val="24"/>
          <w:lang w:val="es-ES" w:eastAsia="es-ES"/>
        </w:rPr>
        <w:t xml:space="preserve"> a</w:t>
      </w:r>
    </w:p>
    <w:p>
      <w:pPr>
        <w:pStyle w:val="style0"/>
        <w:autoSpaceDE w:val="false"/>
        <w:autoSpaceDN w:val="false"/>
        <w:adjustRightInd w:val="false"/>
        <w:spacing w:after="0" w:lineRule="auto" w:line="360"/>
        <w:jc w:val="both"/>
        <w:rPr>
          <w:rFonts w:ascii="Arial" w:cs="Arial" w:hAnsi="Arial"/>
          <w:sz w:val="24"/>
          <w:szCs w:val="24"/>
          <w:highlight w:val="yellow"/>
          <w:lang w:val="es-ES" w:eastAsia="es-ES"/>
        </w:rPr>
      </w:pPr>
      <w:r>
        <w:rPr>
          <w:rFonts w:ascii="Arial" w:cs="Arial" w:hAnsi="Arial"/>
          <w:sz w:val="24"/>
          <w:szCs w:val="24"/>
          <w:lang w:val="es-ES" w:eastAsia="es-ES"/>
        </w:rPr>
        <w:t>16</w:t>
      </w:r>
      <w:r>
        <w:rPr>
          <w:rFonts w:ascii="Arial" w:cs="Arial" w:hAnsi="Arial"/>
          <w:sz w:val="24"/>
          <w:szCs w:val="24"/>
          <w:lang w:val="es-ES" w:eastAsia="es-ES"/>
        </w:rPr>
        <w:t xml:space="preserve"> puntos).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Mediante el análisis de los da</w:t>
      </w:r>
      <w:r>
        <w:rPr>
          <w:rFonts w:ascii="Arial" w:cs="Arial" w:hAnsi="Arial"/>
          <w:sz w:val="24"/>
          <w:szCs w:val="24"/>
          <w:lang w:val="es-ES" w:eastAsia="es-ES"/>
        </w:rPr>
        <w:t>tos se generaro</w:t>
      </w:r>
      <w:r>
        <w:rPr>
          <w:rFonts w:ascii="Arial" w:cs="Arial" w:hAnsi="Arial"/>
          <w:sz w:val="24"/>
          <w:szCs w:val="24"/>
          <w:lang w:val="es-ES" w:eastAsia="es-ES"/>
        </w:rPr>
        <w:t xml:space="preserve">n las curvas </w:t>
      </w:r>
      <w:r>
        <w:rPr>
          <w:rFonts w:ascii="Arial" w:cs="Arial" w:hAnsi="Arial"/>
          <w:sz w:val="24"/>
          <w:szCs w:val="24"/>
          <w:lang w:val="es-ES" w:eastAsia="es-ES"/>
        </w:rPr>
        <w:t xml:space="preserve">COR </w:t>
      </w:r>
      <w:r>
        <w:rPr>
          <w:rFonts w:ascii="Arial" w:cs="Arial" w:hAnsi="Arial"/>
          <w:sz w:val="24"/>
          <w:szCs w:val="24"/>
          <w:lang w:val="es-ES" w:eastAsia="es-ES"/>
        </w:rPr>
        <w:t xml:space="preserve">(característica </w:t>
      </w:r>
      <w:r>
        <w:rPr>
          <w:rFonts w:ascii="Arial" w:cs="Arial" w:hAnsi="Arial"/>
          <w:sz w:val="24"/>
          <w:szCs w:val="24"/>
          <w:lang w:val="es-ES" w:eastAsia="es-ES"/>
        </w:rPr>
        <w:t xml:space="preserve">operativa de receptor) </w:t>
      </w:r>
      <w:r>
        <w:rPr>
          <w:rFonts w:ascii="Arial" w:cs="Arial" w:hAnsi="Arial"/>
          <w:sz w:val="24"/>
          <w:szCs w:val="24"/>
          <w:lang w:val="es-ES" w:eastAsia="es-ES"/>
        </w:rPr>
        <w:t>y se determinó</w:t>
      </w:r>
      <w:r>
        <w:rPr>
          <w:rFonts w:ascii="Arial" w:cs="Arial" w:hAnsi="Arial"/>
          <w:sz w:val="24"/>
          <w:szCs w:val="24"/>
          <w:lang w:val="es-ES" w:eastAsia="es-ES"/>
        </w:rPr>
        <w:t xml:space="preserve"> la capacidad de </w:t>
      </w:r>
      <w:r>
        <w:rPr>
          <w:rFonts w:ascii="Arial" w:cs="Arial" w:hAnsi="Arial"/>
          <w:sz w:val="24"/>
          <w:szCs w:val="24"/>
          <w:lang w:val="es-ES" w:eastAsia="es-ES"/>
        </w:rPr>
        <w:t xml:space="preserve">discriminación </w:t>
      </w:r>
      <w:r>
        <w:rPr>
          <w:rFonts w:ascii="Arial" w:cs="Arial" w:hAnsi="Arial"/>
          <w:sz w:val="24"/>
          <w:szCs w:val="24"/>
          <w:lang w:val="es-ES" w:eastAsia="es-ES"/>
        </w:rPr>
        <w:t>del índice</w:t>
      </w:r>
      <w:r>
        <w:rPr>
          <w:rFonts w:ascii="Arial" w:cs="Arial" w:hAnsi="Arial"/>
          <w:sz w:val="24"/>
          <w:szCs w:val="24"/>
          <w:lang w:val="es-ES" w:eastAsia="es-ES"/>
        </w:rPr>
        <w:t xml:space="preserve">. La </w:t>
      </w:r>
      <w:r>
        <w:rPr>
          <w:rFonts w:ascii="Arial" w:cs="Arial" w:hAnsi="Arial"/>
          <w:sz w:val="24"/>
          <w:szCs w:val="24"/>
          <w:lang w:val="es-ES" w:eastAsia="es-ES"/>
        </w:rPr>
        <w:t>comparación</w:t>
      </w:r>
      <w:r>
        <w:rPr>
          <w:rFonts w:ascii="Arial" w:cs="Arial" w:hAnsi="Arial"/>
          <w:sz w:val="24"/>
          <w:szCs w:val="24"/>
          <w:lang w:val="es-ES" w:eastAsia="es-ES"/>
        </w:rPr>
        <w:t xml:space="preserve"> del á</w:t>
      </w:r>
      <w:r>
        <w:rPr>
          <w:rFonts w:ascii="Arial" w:cs="Arial" w:hAnsi="Arial"/>
          <w:sz w:val="24"/>
          <w:szCs w:val="24"/>
          <w:lang w:val="es-ES" w:eastAsia="es-ES"/>
        </w:rPr>
        <w:t>rea bajo la curva permitió</w:t>
      </w:r>
      <w:r>
        <w:rPr>
          <w:rFonts w:ascii="Arial" w:cs="Arial" w:hAnsi="Arial"/>
          <w:sz w:val="24"/>
          <w:szCs w:val="24"/>
          <w:lang w:val="es-ES" w:eastAsia="es-ES"/>
        </w:rPr>
        <w:t xml:space="preserve"> identifi</w:t>
      </w:r>
      <w:r>
        <w:rPr>
          <w:rFonts w:ascii="Arial" w:cs="Arial" w:hAnsi="Arial"/>
          <w:sz w:val="24"/>
          <w:szCs w:val="24"/>
          <w:lang w:val="es-ES" w:eastAsia="es-ES"/>
        </w:rPr>
        <w:t xml:space="preserve">car la capacidad predictiva del </w:t>
      </w:r>
      <w:r>
        <w:rPr>
          <w:rFonts w:ascii="Arial" w:cs="Arial" w:hAnsi="Arial"/>
          <w:sz w:val="24"/>
          <w:szCs w:val="24"/>
          <w:lang w:val="es-ES" w:eastAsia="es-ES"/>
        </w:rPr>
        <w:t>índice. La evaluación de la capacidad d</w:t>
      </w:r>
      <w:r>
        <w:rPr>
          <w:rFonts w:ascii="Arial" w:cs="Arial" w:hAnsi="Arial"/>
          <w:sz w:val="24"/>
          <w:szCs w:val="24"/>
          <w:lang w:val="es-ES" w:eastAsia="es-ES"/>
        </w:rPr>
        <w:t xml:space="preserve">iscriminatoria se realizó </w:t>
      </w:r>
      <w:r>
        <w:rPr>
          <w:rFonts w:ascii="Arial" w:cs="Arial" w:hAnsi="Arial"/>
          <w:sz w:val="24"/>
          <w:szCs w:val="24"/>
          <w:lang w:val="es-ES" w:eastAsia="es-ES"/>
        </w:rPr>
        <w:t>por el examen</w:t>
      </w:r>
      <w:r>
        <w:rPr>
          <w:rFonts w:ascii="Arial" w:cs="Arial" w:hAnsi="Arial"/>
          <w:sz w:val="24"/>
          <w:szCs w:val="24"/>
          <w:lang w:val="es-ES" w:eastAsia="es-ES"/>
        </w:rPr>
        <w:t xml:space="preserve"> visual de la curva. Se estimó</w:t>
      </w:r>
      <w:r>
        <w:rPr>
          <w:rFonts w:ascii="Arial" w:cs="Arial" w:hAnsi="Arial"/>
          <w:sz w:val="24"/>
          <w:szCs w:val="24"/>
          <w:lang w:val="es-ES" w:eastAsia="es-ES"/>
        </w:rPr>
        <w:t>, puntualmente y por intervalo</w:t>
      </w:r>
      <w:r>
        <w:rPr>
          <w:rFonts w:ascii="Arial" w:cs="Arial" w:hAnsi="Arial"/>
          <w:sz w:val="24"/>
          <w:szCs w:val="24"/>
          <w:lang w:val="es-ES" w:eastAsia="es-ES"/>
        </w:rPr>
        <w:t xml:space="preserve"> de confianza del 95 %, el área </w:t>
      </w:r>
      <w:r>
        <w:rPr>
          <w:rFonts w:ascii="Arial" w:cs="Arial" w:hAnsi="Arial"/>
          <w:sz w:val="24"/>
          <w:szCs w:val="24"/>
          <w:lang w:val="es-ES" w:eastAsia="es-ES"/>
        </w:rPr>
        <w:t xml:space="preserve">bajo cada curva. </w:t>
      </w:r>
      <w:r>
        <w:rPr>
          <w:rFonts w:ascii="Arial" w:cs="Arial" w:hAnsi="Arial"/>
          <w:sz w:val="24"/>
          <w:szCs w:val="24"/>
          <w:lang w:val="es-ES" w:eastAsia="es-ES"/>
        </w:rPr>
        <w:t>Se consideró</w:t>
      </w:r>
      <w:r>
        <w:rPr>
          <w:rFonts w:ascii="Arial" w:cs="Arial" w:hAnsi="Arial"/>
          <w:sz w:val="24"/>
          <w:szCs w:val="24"/>
          <w:lang w:val="es-ES" w:eastAsia="es-ES"/>
        </w:rPr>
        <w:t xml:space="preserve"> buen poder d</w:t>
      </w:r>
      <w:r>
        <w:rPr>
          <w:rFonts w:ascii="Arial" w:cs="Arial" w:hAnsi="Arial"/>
          <w:sz w:val="24"/>
          <w:szCs w:val="24"/>
          <w:lang w:val="es-ES" w:eastAsia="es-ES"/>
        </w:rPr>
        <w:t>e discriminació</w:t>
      </w:r>
      <w:r>
        <w:rPr>
          <w:rFonts w:ascii="Arial" w:cs="Arial" w:hAnsi="Arial"/>
          <w:sz w:val="24"/>
          <w:szCs w:val="24"/>
          <w:lang w:val="es-ES" w:eastAsia="es-ES"/>
        </w:rPr>
        <w:t xml:space="preserve">n cuándo el área bajo la curva </w:t>
      </w:r>
      <w:r>
        <w:rPr>
          <w:rFonts w:ascii="Arial" w:cs="Arial" w:hAnsi="Arial"/>
          <w:sz w:val="24"/>
          <w:szCs w:val="24"/>
          <w:lang w:val="es-ES" w:eastAsia="es-ES"/>
        </w:rPr>
        <w:t>e</w:t>
      </w:r>
      <w:r>
        <w:rPr>
          <w:rFonts w:ascii="Arial" w:cs="Arial" w:hAnsi="Arial"/>
          <w:sz w:val="24"/>
          <w:szCs w:val="24"/>
          <w:lang w:val="es-ES" w:eastAsia="es-ES"/>
        </w:rPr>
        <w:t>r</w:t>
      </w:r>
      <w:r>
        <w:rPr>
          <w:rFonts w:ascii="Arial" w:cs="Arial" w:hAnsi="Arial"/>
          <w:sz w:val="24"/>
          <w:szCs w:val="24"/>
          <w:lang w:val="es-ES" w:eastAsia="es-ES"/>
        </w:rPr>
        <w:t>a</w:t>
      </w:r>
      <w:r>
        <w:rPr>
          <w:rFonts w:ascii="Arial" w:cs="Arial" w:hAnsi="Arial"/>
          <w:sz w:val="24"/>
          <w:szCs w:val="24"/>
          <w:lang w:val="es-ES" w:eastAsia="es-ES"/>
        </w:rPr>
        <w:t xml:space="preserve"> ≥ 0,75.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Se estimó</w:t>
      </w:r>
      <w:r>
        <w:rPr>
          <w:rFonts w:ascii="Arial" w:cs="Arial" w:hAnsi="Arial"/>
          <w:sz w:val="24"/>
          <w:szCs w:val="24"/>
          <w:lang w:val="es-ES" w:eastAsia="es-ES"/>
        </w:rPr>
        <w:t>, además, la calibración del índice mediante la prueba de Hosmer y</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 xml:space="preserve">Lemeshow, con un contraste en 7 puntos de corte entre los resultados </w:t>
      </w:r>
      <w:r>
        <w:rPr>
          <w:rFonts w:ascii="Arial" w:cs="Arial" w:hAnsi="Arial"/>
          <w:sz w:val="24"/>
          <w:szCs w:val="24"/>
          <w:lang w:val="es-ES" w:eastAsia="es-ES"/>
        </w:rPr>
        <w:t>que se espera</w:t>
      </w:r>
      <w:r>
        <w:rPr>
          <w:rFonts w:ascii="Arial" w:cs="Arial" w:hAnsi="Arial"/>
          <w:sz w:val="24"/>
          <w:szCs w:val="24"/>
          <w:lang w:val="es-ES" w:eastAsia="es-ES"/>
        </w:rPr>
        <w:t>ro</w:t>
      </w:r>
      <w:r>
        <w:rPr>
          <w:rFonts w:ascii="Arial" w:cs="Arial" w:hAnsi="Arial"/>
          <w:sz w:val="24"/>
          <w:szCs w:val="24"/>
          <w:lang w:val="es-ES" w:eastAsia="es-ES"/>
        </w:rPr>
        <w:t>n y los</w:t>
      </w:r>
      <w:r>
        <w:rPr>
          <w:rFonts w:ascii="Arial" w:cs="Arial" w:hAnsi="Arial"/>
          <w:sz w:val="24"/>
          <w:szCs w:val="24"/>
          <w:lang w:val="es-ES" w:eastAsia="es-ES"/>
        </w:rPr>
        <w:t xml:space="preserve"> que se observaro</w:t>
      </w:r>
      <w:r>
        <w:rPr>
          <w:rFonts w:ascii="Arial" w:cs="Arial" w:hAnsi="Arial"/>
          <w:sz w:val="24"/>
          <w:szCs w:val="24"/>
          <w:lang w:val="es-ES" w:eastAsia="es-ES"/>
        </w:rPr>
        <w:t>n</w:t>
      </w:r>
      <w:r>
        <w:rPr>
          <w:rFonts w:ascii="Arial" w:cs="Arial" w:hAnsi="Arial"/>
          <w:sz w:val="24"/>
          <w:szCs w:val="24"/>
          <w:lang w:val="es-ES" w:eastAsia="es-ES"/>
        </w:rPr>
        <w:t xml:space="preserve">. Un valor del test mayor de 0,05 es expresión de buena calibración.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hAnsi="Arial"/>
          <w:sz w:val="24"/>
          <w:szCs w:val="24"/>
          <w:lang w:val="es-ES" w:eastAsia="es-ES"/>
        </w:rPr>
        <w:t>También se determinaro</w:t>
      </w:r>
      <w:r>
        <w:rPr>
          <w:rFonts w:ascii="Arial" w:cs="Arial" w:hAnsi="Arial"/>
          <w:sz w:val="24"/>
          <w:szCs w:val="24"/>
          <w:lang w:val="es-ES" w:eastAsia="es-ES"/>
        </w:rPr>
        <w:t>n los valores promedios del ín</w:t>
      </w:r>
      <w:r>
        <w:rPr>
          <w:rFonts w:ascii="Arial" w:cs="Arial" w:hAnsi="Arial"/>
          <w:sz w:val="24"/>
          <w:szCs w:val="24"/>
          <w:lang w:val="es-ES" w:eastAsia="es-ES"/>
        </w:rPr>
        <w:t xml:space="preserve">dice entre los fallecidos y los </w:t>
      </w:r>
      <w:r>
        <w:rPr>
          <w:rFonts w:ascii="Arial" w:cs="Arial" w:hAnsi="Arial"/>
          <w:sz w:val="24"/>
          <w:szCs w:val="24"/>
          <w:lang w:val="es-ES" w:eastAsia="es-ES"/>
        </w:rPr>
        <w:t>vivos mediante la t de Student, para muestras independientes.</w:t>
      </w:r>
      <w:r>
        <w:rPr>
          <w:rFonts w:ascii="Arial" w:cs="Arial" w:hAnsi="Arial"/>
          <w:sz w:val="24"/>
          <w:szCs w:val="24"/>
          <w:lang w:val="es-ES" w:eastAsia="es-ES"/>
        </w:rPr>
        <w:t xml:space="preserve"> </w:t>
      </w:r>
    </w:p>
    <w:p>
      <w:pPr>
        <w:pStyle w:val="style0"/>
        <w:autoSpaceDE w:val="false"/>
        <w:autoSpaceDN w:val="false"/>
        <w:adjustRightInd w:val="false"/>
        <w:spacing w:after="0" w:lineRule="auto" w:line="360"/>
        <w:jc w:val="both"/>
        <w:rPr>
          <w:rFonts w:ascii="Arial" w:cs="Arial" w:hAnsi="Arial"/>
          <w:sz w:val="24"/>
          <w:szCs w:val="24"/>
          <w:lang w:val="es-ES" w:eastAsia="es-ES"/>
        </w:rPr>
      </w:pPr>
      <w:r>
        <w:rPr>
          <w:rFonts w:ascii="Arial" w:cs="Arial" w:eastAsia="TimesNewRoman" w:hAnsi="Arial"/>
          <w:sz w:val="24"/>
          <w:szCs w:val="24"/>
          <w:lang w:eastAsia="es-ES"/>
        </w:rPr>
        <w:br w:type="page"/>
      </w:r>
    </w:p>
    <w:p>
      <w:pPr>
        <w:pStyle w:val="style0"/>
        <w:autoSpaceDE w:val="false"/>
        <w:autoSpaceDN w:val="false"/>
        <w:adjustRightInd w:val="false"/>
        <w:spacing w:after="0" w:lineRule="auto" w:line="360"/>
        <w:jc w:val="center"/>
        <w:rPr>
          <w:rFonts w:ascii="Arial" w:cs="Arial" w:eastAsia="TimesNewRoman" w:hAnsi="Arial"/>
          <w:b/>
          <w:sz w:val="24"/>
          <w:szCs w:val="24"/>
          <w:lang w:eastAsia="es-ES"/>
        </w:rPr>
      </w:pPr>
      <w:r>
        <w:rPr>
          <w:rFonts w:ascii="Arial" w:cs="Arial" w:eastAsia="TimesNewRoman" w:hAnsi="Arial"/>
          <w:b/>
          <w:sz w:val="24"/>
          <w:szCs w:val="24"/>
          <w:lang w:eastAsia="es-ES"/>
        </w:rPr>
        <w:t>RESULTADOS</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p>
    <w:p>
      <w:pPr>
        <w:pStyle w:val="style0"/>
        <w:autoSpaceDE w:val="false"/>
        <w:autoSpaceDN w:val="false"/>
        <w:adjustRightInd w:val="false"/>
        <w:spacing w:after="0" w:lineRule="auto" w:line="360"/>
        <w:jc w:val="both"/>
        <w:rPr>
          <w:rFonts w:ascii="TimesNewRoman" w:cs="TimesNewRoman" w:eastAsia="TimesNewRoman"/>
          <w:sz w:val="24"/>
          <w:szCs w:val="24"/>
          <w:lang w:eastAsia="es-ES"/>
        </w:rPr>
      </w:pPr>
      <w:r>
        <w:rPr>
          <w:rFonts w:ascii="Arial" w:cs="Arial" w:eastAsia="TimesNewRoman" w:hAnsi="Arial"/>
          <w:sz w:val="24"/>
          <w:szCs w:val="24"/>
          <w:lang w:eastAsia="es-ES"/>
        </w:rPr>
        <w:t>Este capítulo tiene como objetivo mostrar los principales resultados de la investigación. Se</w:t>
      </w:r>
      <w:r>
        <w:rPr>
          <w:rFonts w:ascii="Arial" w:cs="Arial" w:eastAsia="TimesNewRoman" w:hAnsi="Arial"/>
          <w:sz w:val="24"/>
          <w:szCs w:val="24"/>
          <w:lang w:eastAsia="es-ES"/>
        </w:rPr>
        <w:t xml:space="preserve"> </w:t>
      </w:r>
      <w:r>
        <w:rPr>
          <w:rFonts w:ascii="Arial" w:cs="Arial" w:eastAsia="TimesNewRoman" w:hAnsi="Arial"/>
          <w:sz w:val="24"/>
          <w:szCs w:val="24"/>
          <w:lang w:eastAsia="es-ES"/>
        </w:rPr>
        <w:t>expone la caracterización de la muestra</w:t>
      </w:r>
      <w:r>
        <w:rPr>
          <w:rFonts w:ascii="Arial" w:cs="Arial" w:eastAsia="TimesNewRoman" w:hAnsi="Arial"/>
          <w:sz w:val="24"/>
          <w:szCs w:val="24"/>
          <w:lang w:eastAsia="es-ES"/>
        </w:rPr>
        <w:t xml:space="preserve"> y</w:t>
      </w:r>
      <w:r>
        <w:rPr>
          <w:rFonts w:ascii="Arial" w:cs="Arial" w:eastAsia="TimesNewRoman" w:hAnsi="Arial"/>
          <w:sz w:val="24"/>
          <w:szCs w:val="24"/>
          <w:lang w:eastAsia="es-ES"/>
        </w:rPr>
        <w:t xml:space="preserve"> los factores </w:t>
      </w:r>
      <w:r>
        <w:rPr>
          <w:rFonts w:ascii="Arial" w:cs="Arial" w:eastAsia="TimesNewRoman" w:hAnsi="Arial"/>
          <w:sz w:val="24"/>
          <w:szCs w:val="24"/>
          <w:lang w:eastAsia="es-ES"/>
        </w:rPr>
        <w:t>pronóstico de muerte</w:t>
      </w:r>
      <w:r>
        <w:rPr>
          <w:rFonts w:ascii="Arial" w:cs="Arial" w:eastAsia="TimesNewRoman" w:hAnsi="Arial"/>
          <w:sz w:val="24"/>
          <w:szCs w:val="24"/>
          <w:lang w:eastAsia="es-ES"/>
        </w:rPr>
        <w:t xml:space="preserve"> </w:t>
      </w:r>
      <w:r>
        <w:rPr>
          <w:rFonts w:ascii="Arial" w:cs="Arial" w:eastAsia="TimesNewRoman" w:hAnsi="Arial"/>
          <w:sz w:val="24"/>
          <w:szCs w:val="24"/>
          <w:lang w:eastAsia="es-ES"/>
        </w:rPr>
        <w:t>por NAC identificados en pacientes con EPOC</w:t>
      </w:r>
      <w:r>
        <w:rPr>
          <w:rFonts w:ascii="Arial" w:cs="Arial" w:eastAsia="TimesNewRoman" w:hAnsi="Arial"/>
          <w:sz w:val="24"/>
          <w:szCs w:val="24"/>
          <w:lang w:eastAsia="es-ES"/>
        </w:rPr>
        <w:t xml:space="preserve">. Se presenta, además, un </w:t>
      </w:r>
      <w:r>
        <w:rPr>
          <w:rFonts w:ascii="Arial" w:cs="Arial" w:eastAsia="TimesNewRoman" w:hAnsi="Arial"/>
          <w:sz w:val="24"/>
          <w:szCs w:val="24"/>
          <w:lang w:eastAsia="es-ES"/>
        </w:rPr>
        <w:t>índice pronóstico</w:t>
      </w:r>
      <w:r>
        <w:rPr>
          <w:rFonts w:ascii="TimesNewRoman" w:cs="TimesNewRoman" w:eastAsia="TimesNewRoman"/>
          <w:sz w:val="24"/>
          <w:szCs w:val="24"/>
          <w:lang w:eastAsia="es-ES"/>
        </w:rPr>
        <w:t>.</w:t>
      </w:r>
    </w:p>
    <w:p>
      <w:pPr>
        <w:pStyle w:val="style0"/>
        <w:autoSpaceDE w:val="false"/>
        <w:autoSpaceDN w:val="false"/>
        <w:adjustRightInd w:val="false"/>
        <w:spacing w:after="0" w:lineRule="auto" w:line="360"/>
        <w:jc w:val="both"/>
        <w:rPr>
          <w:rFonts w:ascii="Arial" w:cs="Arial" w:eastAsia="TimesNewRoman,Bold" w:hAnsi="Arial"/>
          <w:b/>
          <w:bCs/>
          <w:sz w:val="24"/>
          <w:szCs w:val="24"/>
          <w:lang w:eastAsia="es-ES"/>
        </w:rPr>
      </w:pPr>
      <w:r>
        <w:rPr>
          <w:rFonts w:ascii="Arial" w:cs="Arial" w:eastAsia="TimesNewRoman,Bold" w:hAnsi="Arial"/>
          <w:b/>
          <w:bCs/>
          <w:sz w:val="24"/>
          <w:szCs w:val="24"/>
          <w:lang w:eastAsia="es-ES"/>
        </w:rPr>
        <w:t>Descripción de las características demográficas, clínicas y los valores basales de las variables biológicas de la población de estudio</w:t>
      </w:r>
      <w:r>
        <w:rPr>
          <w:rFonts w:ascii="Arial" w:cs="Arial" w:eastAsia="TimesNewRoman,Bold" w:hAnsi="Arial"/>
          <w:b/>
          <w:bCs/>
          <w:sz w:val="24"/>
          <w:szCs w:val="24"/>
          <w:lang w:eastAsia="es-ES"/>
        </w:rPr>
        <w:t>.</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 xml:space="preserve">En la tabla 1 se observa que </w:t>
      </w:r>
      <w:r>
        <w:rPr>
          <w:rFonts w:ascii="Arial" w:cs="Arial" w:hAnsi="Arial"/>
          <w:sz w:val="24"/>
          <w:szCs w:val="24"/>
        </w:rPr>
        <w:t>48,8</w:t>
      </w:r>
      <w:r>
        <w:rPr>
          <w:rFonts w:ascii="Arial" w:cs="Arial" w:eastAsia="TimesNewRoman" w:hAnsi="Arial"/>
          <w:sz w:val="24"/>
          <w:szCs w:val="24"/>
          <w:lang w:eastAsia="es-ES"/>
        </w:rPr>
        <w:t xml:space="preserve">% </w:t>
      </w:r>
      <w:r>
        <w:rPr>
          <w:rFonts w:ascii="Arial" w:cs="Arial" w:eastAsia="TimesNewRoman" w:hAnsi="Arial"/>
          <w:sz w:val="24"/>
          <w:szCs w:val="24"/>
          <w:lang w:eastAsia="es-ES"/>
        </w:rPr>
        <w:t xml:space="preserve">eran fumadores </w:t>
      </w:r>
      <w:r>
        <w:rPr>
          <w:rFonts w:ascii="Arial" w:cs="Arial" w:eastAsia="TimesNewRoman" w:hAnsi="Arial"/>
          <w:sz w:val="24"/>
          <w:szCs w:val="24"/>
          <w:lang w:eastAsia="es-ES"/>
        </w:rPr>
        <w:t>de la</w:t>
      </w:r>
      <w:r>
        <w:rPr>
          <w:rFonts w:ascii="Arial" w:cs="Arial" w:eastAsia="TimesNewRoman" w:hAnsi="Arial"/>
          <w:sz w:val="24"/>
          <w:szCs w:val="24"/>
          <w:lang w:eastAsia="es-ES"/>
        </w:rPr>
        <w:t xml:space="preserve"> </w:t>
      </w:r>
      <w:r>
        <w:rPr>
          <w:rFonts w:ascii="Arial" w:cs="Arial" w:eastAsia="TimesNewRoman" w:hAnsi="Arial"/>
          <w:sz w:val="24"/>
          <w:szCs w:val="24"/>
          <w:lang w:eastAsia="es-ES"/>
        </w:rPr>
        <w:t xml:space="preserve">casuística y hubo un </w:t>
      </w:r>
      <w:r>
        <w:rPr>
          <w:rFonts w:ascii="Arial" w:cs="Arial" w:eastAsia="TimesNewRoman" w:hAnsi="Arial"/>
          <w:sz w:val="24"/>
          <w:szCs w:val="24"/>
          <w:lang w:eastAsia="es-ES"/>
        </w:rPr>
        <w:t xml:space="preserve">ligero </w:t>
      </w:r>
      <w:r>
        <w:rPr>
          <w:rFonts w:ascii="Arial" w:cs="Arial" w:eastAsia="TimesNewRoman" w:hAnsi="Arial"/>
          <w:sz w:val="24"/>
          <w:szCs w:val="24"/>
          <w:lang w:eastAsia="es-ES"/>
        </w:rPr>
        <w:t xml:space="preserve">predominio de </w:t>
      </w:r>
      <w:r>
        <w:rPr>
          <w:rFonts w:ascii="Arial" w:cs="Arial" w:eastAsia="TimesNewRoman" w:hAnsi="Arial"/>
          <w:sz w:val="24"/>
          <w:szCs w:val="24"/>
          <w:lang w:eastAsia="es-ES"/>
        </w:rPr>
        <w:t>las mujeres</w:t>
      </w:r>
      <w:r>
        <w:rPr>
          <w:rFonts w:ascii="Arial" w:cs="Arial" w:eastAsia="TimesNewRoman" w:hAnsi="Arial"/>
          <w:sz w:val="24"/>
          <w:szCs w:val="24"/>
          <w:lang w:eastAsia="es-ES"/>
        </w:rPr>
        <w:t xml:space="preserve"> </w:t>
      </w:r>
      <w:r>
        <w:rPr>
          <w:rFonts w:ascii="Arial" w:cs="Arial" w:eastAsia="TimesNewRoman" w:hAnsi="Arial"/>
          <w:sz w:val="24"/>
          <w:szCs w:val="24"/>
          <w:lang w:eastAsia="es-ES"/>
        </w:rPr>
        <w:t>(</w:t>
      </w:r>
      <w:r>
        <w:rPr>
          <w:rFonts w:ascii="Arial" w:cs="Arial" w:hAnsi="Arial"/>
          <w:sz w:val="24"/>
          <w:szCs w:val="24"/>
        </w:rPr>
        <w:t>52,1</w:t>
      </w:r>
      <w:r>
        <w:rPr>
          <w:rFonts w:ascii="Arial" w:cs="Arial" w:eastAsia="TimesNewRoman" w:hAnsi="Arial"/>
          <w:sz w:val="24"/>
          <w:szCs w:val="24"/>
          <w:lang w:eastAsia="es-ES"/>
        </w:rPr>
        <w:t>%)</w:t>
      </w:r>
      <w:r>
        <w:rPr>
          <w:rFonts w:ascii="Arial" w:cs="Arial" w:eastAsia="TimesNewRoman" w:hAnsi="Arial"/>
          <w:sz w:val="24"/>
          <w:szCs w:val="24"/>
          <w:lang w:eastAsia="es-ES"/>
        </w:rPr>
        <w:t xml:space="preserve"> </w:t>
      </w:r>
      <w:r>
        <w:rPr>
          <w:rFonts w:ascii="Arial" w:cs="Arial" w:eastAsia="TimesNewRoman" w:hAnsi="Arial"/>
          <w:sz w:val="24"/>
          <w:szCs w:val="24"/>
          <w:lang w:eastAsia="es-ES"/>
        </w:rPr>
        <w:t xml:space="preserve">también tuvo un porciento importante la neumonía multilobar (78 pacientes lo que representa un 36,6% del total de la muestra). </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 xml:space="preserve">La edad media fue de 70,85 años (desviación estándar de 13,49) mientras que el promedio de estadía fue de 6,61 días (desviación estándar de 5,33). Tabla 2. </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Bold" w:hAnsi="Arial"/>
          <w:b/>
          <w:bCs/>
          <w:sz w:val="24"/>
          <w:szCs w:val="24"/>
          <w:lang w:eastAsia="es-ES"/>
        </w:rPr>
        <w:t xml:space="preserve">Factores asociados </w:t>
      </w:r>
      <w:r>
        <w:rPr>
          <w:rFonts w:ascii="Arial" w:cs="Arial" w:eastAsia="TimesNewRoman,Bold" w:hAnsi="Arial"/>
          <w:b/>
          <w:bCs/>
          <w:sz w:val="24"/>
          <w:szCs w:val="24"/>
          <w:lang w:eastAsia="es-ES"/>
        </w:rPr>
        <w:t xml:space="preserve">al pronóstico de muerte por NAC </w:t>
      </w:r>
      <w:r>
        <w:rPr>
          <w:rFonts w:ascii="Arial" w:cs="Arial" w:eastAsia="TimesNewRoman,Bold" w:hAnsi="Arial"/>
          <w:b/>
          <w:bCs/>
          <w:sz w:val="24"/>
          <w:szCs w:val="24"/>
          <w:lang w:eastAsia="es-ES"/>
        </w:rPr>
        <w:t xml:space="preserve">en pacientes con </w:t>
      </w:r>
      <w:r>
        <w:rPr>
          <w:rFonts w:ascii="Arial" w:cs="Arial" w:eastAsia="TimesNewRoman,Bold" w:hAnsi="Arial"/>
          <w:b/>
          <w:bCs/>
          <w:sz w:val="24"/>
          <w:szCs w:val="24"/>
          <w:lang w:eastAsia="es-ES"/>
        </w:rPr>
        <w:t>EPOC</w:t>
      </w:r>
      <w:r>
        <w:rPr>
          <w:rFonts w:ascii="Arial" w:cs="Arial" w:eastAsia="TimesNewRoman,Bold" w:hAnsi="Arial"/>
          <w:b/>
          <w:bCs/>
          <w:sz w:val="24"/>
          <w:szCs w:val="24"/>
          <w:lang w:eastAsia="es-ES"/>
        </w:rPr>
        <w:t>.</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 xml:space="preserve">En la tabla </w:t>
      </w:r>
      <w:r>
        <w:rPr>
          <w:rFonts w:ascii="Arial" w:cs="Arial" w:eastAsia="TimesNewRoman" w:hAnsi="Arial"/>
          <w:sz w:val="24"/>
          <w:szCs w:val="24"/>
          <w:lang w:eastAsia="es-ES"/>
        </w:rPr>
        <w:t xml:space="preserve">3 </w:t>
      </w:r>
      <w:r>
        <w:rPr>
          <w:rFonts w:ascii="Arial" w:cs="Arial" w:eastAsia="TimesNewRoman" w:hAnsi="Arial"/>
          <w:sz w:val="24"/>
          <w:szCs w:val="24"/>
          <w:lang w:eastAsia="es-ES"/>
        </w:rPr>
        <w:t xml:space="preserve">se representa el resultado del análisis </w:t>
      </w:r>
      <w:r>
        <w:rPr>
          <w:rFonts w:ascii="Arial" w:cs="Arial" w:eastAsia="TimesNewRoman" w:hAnsi="Arial"/>
          <w:sz w:val="24"/>
          <w:szCs w:val="24"/>
          <w:lang w:eastAsia="es-ES"/>
        </w:rPr>
        <w:t>b</w:t>
      </w:r>
      <w:r>
        <w:rPr>
          <w:rFonts w:ascii="Arial" w:cs="Arial" w:eastAsia="TimesNewRoman" w:hAnsi="Arial"/>
          <w:sz w:val="24"/>
          <w:szCs w:val="24"/>
          <w:lang w:eastAsia="es-ES"/>
        </w:rPr>
        <w:t xml:space="preserve">ivariado de </w:t>
      </w:r>
      <w:r>
        <w:rPr>
          <w:rFonts w:ascii="Arial" w:cs="Arial" w:eastAsia="TimesNewRoman" w:hAnsi="Arial"/>
          <w:sz w:val="24"/>
          <w:szCs w:val="24"/>
          <w:lang w:eastAsia="es-ES"/>
        </w:rPr>
        <w:t>los factores sociodemográficos y los hábitos tóxicos</w:t>
      </w:r>
      <w:r>
        <w:rPr>
          <w:rFonts w:ascii="Arial" w:cs="Arial" w:eastAsia="TimesNewRoman" w:hAnsi="Arial"/>
          <w:sz w:val="24"/>
          <w:szCs w:val="24"/>
          <w:lang w:eastAsia="es-ES"/>
        </w:rPr>
        <w:t>,</w:t>
      </w:r>
      <w:r>
        <w:rPr>
          <w:rFonts w:ascii="Arial" w:cs="Arial" w:eastAsia="TimesNewRoman" w:hAnsi="Arial"/>
          <w:sz w:val="24"/>
          <w:szCs w:val="24"/>
          <w:lang w:eastAsia="es-ES"/>
        </w:rPr>
        <w:t xml:space="preserve"> y su asociación </w:t>
      </w:r>
      <w:r>
        <w:rPr>
          <w:rFonts w:ascii="Arial" w:cs="Arial" w:eastAsia="TimesNewRoman" w:hAnsi="Arial"/>
          <w:sz w:val="24"/>
          <w:szCs w:val="24"/>
          <w:lang w:eastAsia="es-ES"/>
        </w:rPr>
        <w:t xml:space="preserve">con el riesgo </w:t>
      </w:r>
      <w:r>
        <w:rPr>
          <w:rFonts w:ascii="Arial" w:cs="Arial" w:eastAsia="TimesNewRoman" w:hAnsi="Arial"/>
          <w:sz w:val="24"/>
          <w:szCs w:val="24"/>
          <w:lang w:eastAsia="es-ES"/>
        </w:rPr>
        <w:t>morir. Como se puede apreciar el hábito de fumar incrementó el riesgo de muerte  estadísticamente significativa (RR= 1,34; IC= 1,04 a 1,55; p= 0,045)</w:t>
      </w:r>
      <w:r>
        <w:rPr>
          <w:rFonts w:ascii="Arial" w:cs="Arial" w:eastAsia="TimesNewRoman" w:hAnsi="Arial"/>
          <w:sz w:val="24"/>
          <w:szCs w:val="24"/>
          <w:lang w:eastAsia="es-ES"/>
        </w:rPr>
        <w:t xml:space="preserve"> así como la edad igual o mayor de 65 años (RR= </w:t>
      </w:r>
      <w:r>
        <w:rPr>
          <w:rFonts w:ascii="Arial" w:cs="Arial" w:hAnsi="Arial"/>
          <w:color w:val="010205"/>
          <w:sz w:val="24"/>
          <w:szCs w:val="24"/>
        </w:rPr>
        <w:t>1,75</w:t>
      </w:r>
      <w:r>
        <w:rPr>
          <w:rFonts w:ascii="Arial" w:cs="Arial" w:eastAsia="TimesNewRoman" w:hAnsi="Arial"/>
          <w:sz w:val="24"/>
          <w:szCs w:val="24"/>
          <w:lang w:eastAsia="es-ES"/>
        </w:rPr>
        <w:t>; IC= 1,22 a 2,43; p= 0,000)</w:t>
      </w:r>
      <w:r>
        <w:rPr>
          <w:rFonts w:ascii="Arial" w:cs="Arial" w:eastAsia="TimesNewRoman" w:hAnsi="Arial"/>
          <w:sz w:val="24"/>
          <w:szCs w:val="24"/>
          <w:lang w:eastAsia="es-ES"/>
        </w:rPr>
        <w:t xml:space="preserve">. </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eastAsia="TimesNewRoman" w:hAnsi="Arial"/>
          <w:sz w:val="24"/>
          <w:szCs w:val="24"/>
          <w:lang w:eastAsia="es-ES"/>
        </w:rPr>
        <w:t>Sin embargo, de forma general la comorbilidad tuvo implicaciones importantes con el incremento del riesgo de morir</w:t>
      </w:r>
      <w:r>
        <w:rPr>
          <w:rFonts w:ascii="Arial" w:cs="Arial" w:eastAsia="TimesNewRoman" w:hAnsi="Arial"/>
          <w:sz w:val="24"/>
          <w:szCs w:val="24"/>
          <w:lang w:eastAsia="es-ES"/>
        </w:rPr>
        <w:t>. Sobresaliendo, el antecedente de cáncer al incrementar el riesgo a 1,99 veces de forma significativa (IC= 1,44 a 2,75; p= 0,000), le continuó en orden de importancia el antecedente de ERC (RR= 1,86; IC= 1,27 a 2,74; p= 0,0</w:t>
      </w:r>
      <w:r>
        <w:rPr>
          <w:rFonts w:ascii="Arial" w:cs="Arial" w:eastAsia="TimesNewRoman" w:hAnsi="Arial"/>
          <w:sz w:val="24"/>
          <w:szCs w:val="24"/>
          <w:lang w:eastAsia="es-ES"/>
        </w:rPr>
        <w:t>32</w:t>
      </w:r>
      <w:r>
        <w:rPr>
          <w:rFonts w:ascii="Arial" w:cs="Arial" w:eastAsia="TimesNewRoman" w:hAnsi="Arial"/>
          <w:sz w:val="24"/>
          <w:szCs w:val="24"/>
          <w:lang w:eastAsia="es-ES"/>
        </w:rPr>
        <w:t xml:space="preserve">) y de la </w:t>
      </w:r>
      <w:r>
        <w:rPr>
          <w:rFonts w:ascii="Arial" w:cs="Arial" w:eastAsia="TimesNewRoman" w:hAnsi="Arial"/>
          <w:sz w:val="24"/>
          <w:szCs w:val="24"/>
          <w:lang w:eastAsia="es-ES"/>
        </w:rPr>
        <w:t>cardiopatía isquémica</w:t>
      </w:r>
      <w:r>
        <w:rPr>
          <w:rFonts w:ascii="Arial" w:cs="Arial" w:eastAsia="TimesNewRoman" w:hAnsi="Arial"/>
          <w:sz w:val="24"/>
          <w:szCs w:val="24"/>
          <w:lang w:eastAsia="es-ES"/>
        </w:rPr>
        <w:t xml:space="preserve"> (RR= 1,79; IC= 1,34 a 2,39; p= 0,000)</w:t>
      </w:r>
      <w:r>
        <w:rPr>
          <w:rFonts w:ascii="Arial" w:cs="Arial" w:eastAsia="TimesNewRoman" w:hAnsi="Arial"/>
          <w:sz w:val="24"/>
          <w:szCs w:val="24"/>
          <w:lang w:eastAsia="es-ES"/>
        </w:rPr>
        <w:t>.</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hAnsi="Arial"/>
          <w:bCs/>
          <w:color w:val="231f20"/>
          <w:sz w:val="24"/>
          <w:szCs w:val="24"/>
          <w:lang w:eastAsia="es-ES"/>
        </w:rPr>
        <w:t>E</w:t>
      </w:r>
      <w:r>
        <w:rPr>
          <w:rFonts w:ascii="Arial" w:cs="Arial" w:hAnsi="Arial"/>
          <w:bCs/>
          <w:color w:val="231f20"/>
          <w:sz w:val="24"/>
          <w:szCs w:val="24"/>
          <w:lang w:eastAsia="es-ES"/>
        </w:rPr>
        <w:t>n la tabla 4</w:t>
      </w:r>
      <w:r>
        <w:rPr>
          <w:rFonts w:ascii="Arial" w:cs="Arial" w:hAnsi="Arial"/>
          <w:bCs/>
          <w:color w:val="231f20"/>
          <w:sz w:val="24"/>
          <w:szCs w:val="24"/>
          <w:lang w:eastAsia="es-ES"/>
        </w:rPr>
        <w:t xml:space="preserve"> se muestra factores relacionados con la NAC y otros marcadores de riesgo</w:t>
      </w:r>
      <w:r>
        <w:rPr>
          <w:rFonts w:ascii="Arial" w:cs="Arial" w:hAnsi="Arial"/>
          <w:bCs/>
          <w:color w:val="231f20"/>
          <w:sz w:val="24"/>
          <w:szCs w:val="24"/>
          <w:lang w:eastAsia="es-ES"/>
        </w:rPr>
        <w:t>.</w:t>
      </w:r>
      <w:r>
        <w:rPr>
          <w:rFonts w:ascii="Arial" w:cs="Arial" w:eastAsia="TimesNewRoman" w:hAnsi="Arial"/>
          <w:sz w:val="24"/>
          <w:szCs w:val="24"/>
          <w:lang w:eastAsia="es-ES"/>
        </w:rPr>
        <w:t xml:space="preserve"> El factor más importante fue </w:t>
      </w:r>
      <w:r>
        <w:rPr>
          <w:rFonts w:ascii="Arial" w:cs="Arial" w:eastAsia="TimesNewRoman" w:hAnsi="Arial"/>
          <w:sz w:val="24"/>
          <w:szCs w:val="24"/>
          <w:lang w:eastAsia="es-ES"/>
        </w:rPr>
        <w:t>tener una neumonía multilobar</w:t>
      </w:r>
      <w:r>
        <w:rPr>
          <w:rFonts w:ascii="Arial" w:cs="Arial" w:eastAsia="TimesNewRoman" w:hAnsi="Arial"/>
          <w:sz w:val="24"/>
          <w:szCs w:val="24"/>
          <w:lang w:eastAsia="es-ES"/>
        </w:rPr>
        <w:t xml:space="preserve"> al elevar el riesgo </w:t>
      </w:r>
      <w:r>
        <w:rPr>
          <w:rFonts w:ascii="Arial" w:cs="Arial" w:eastAsia="TimesNewRoman" w:hAnsi="Arial"/>
          <w:sz w:val="24"/>
          <w:szCs w:val="24"/>
          <w:lang w:eastAsia="es-ES"/>
        </w:rPr>
        <w:t>de morir</w:t>
      </w:r>
      <w:r>
        <w:rPr>
          <w:rFonts w:ascii="Arial" w:cs="Arial" w:eastAsia="TimesNewRoman" w:hAnsi="Arial"/>
          <w:sz w:val="24"/>
          <w:szCs w:val="24"/>
          <w:lang w:eastAsia="es-ES"/>
        </w:rPr>
        <w:t xml:space="preserve"> a </w:t>
      </w:r>
      <w:r>
        <w:rPr>
          <w:rFonts w:ascii="Arial" w:cs="Arial" w:hAnsi="Arial"/>
          <w:color w:val="010205"/>
          <w:sz w:val="24"/>
          <w:szCs w:val="24"/>
        </w:rPr>
        <w:t xml:space="preserve">3,09 </w:t>
      </w:r>
      <w:r>
        <w:rPr>
          <w:rFonts w:ascii="Arial" w:cs="Arial" w:eastAsia="TimesNewRoman" w:hAnsi="Arial"/>
          <w:sz w:val="24"/>
          <w:szCs w:val="24"/>
          <w:lang w:eastAsia="es-ES"/>
        </w:rPr>
        <w:t xml:space="preserve">veces (IC 95%= </w:t>
      </w:r>
      <w:r>
        <w:rPr>
          <w:rFonts w:ascii="Arial" w:cs="Arial" w:hAnsi="Arial"/>
          <w:color w:val="010205"/>
          <w:sz w:val="24"/>
          <w:szCs w:val="24"/>
        </w:rPr>
        <w:t>2,24 a 4,27</w:t>
      </w:r>
      <w:r>
        <w:rPr>
          <w:rFonts w:ascii="Arial" w:cs="Arial" w:eastAsia="TimesNewRoman" w:hAnsi="Arial"/>
          <w:sz w:val="24"/>
          <w:szCs w:val="24"/>
          <w:lang w:eastAsia="es-ES"/>
        </w:rPr>
        <w:t>; p= 0,0000),</w:t>
      </w:r>
      <w:r>
        <w:rPr>
          <w:rFonts w:ascii="Arial" w:cs="Arial" w:eastAsia="TimesNewRoman" w:hAnsi="Arial"/>
          <w:sz w:val="24"/>
          <w:szCs w:val="24"/>
          <w:lang w:eastAsia="es-ES"/>
        </w:rPr>
        <w:t xml:space="preserve"> </w:t>
      </w:r>
      <w:r>
        <w:rPr>
          <w:rFonts w:ascii="Arial" w:cs="Arial" w:eastAsia="TimesNewRoman" w:hAnsi="Arial"/>
          <w:sz w:val="24"/>
          <w:szCs w:val="24"/>
          <w:lang w:eastAsia="es-ES"/>
        </w:rPr>
        <w:t>seguid</w:t>
      </w:r>
      <w:r>
        <w:rPr>
          <w:rFonts w:ascii="Arial" w:cs="Arial" w:eastAsia="TimesNewRoman" w:hAnsi="Arial"/>
          <w:sz w:val="24"/>
          <w:szCs w:val="24"/>
          <w:lang w:eastAsia="es-ES"/>
        </w:rPr>
        <w:t>a</w:t>
      </w:r>
      <w:r>
        <w:rPr>
          <w:rFonts w:ascii="Arial" w:cs="Arial" w:eastAsia="TimesNewRoman" w:hAnsi="Arial"/>
          <w:sz w:val="24"/>
          <w:szCs w:val="24"/>
          <w:lang w:eastAsia="es-ES"/>
        </w:rPr>
        <w:t xml:space="preserve"> de los pacientes </w:t>
      </w:r>
      <w:r>
        <w:rPr>
          <w:rFonts w:ascii="Arial" w:cs="Arial" w:eastAsia="TimesNewRoman" w:hAnsi="Arial"/>
          <w:sz w:val="24"/>
          <w:szCs w:val="24"/>
          <w:lang w:eastAsia="es-ES"/>
        </w:rPr>
        <w:t>con choque</w:t>
      </w:r>
      <w:r>
        <w:rPr>
          <w:rFonts w:ascii="Arial" w:cs="Arial" w:hAnsi="Arial"/>
          <w:b/>
          <w:sz w:val="24"/>
          <w:szCs w:val="24"/>
        </w:rPr>
        <w:t xml:space="preserve"> </w:t>
      </w:r>
      <w:r>
        <w:rPr>
          <w:rFonts w:ascii="Arial" w:cs="Arial" w:eastAsia="TimesNewRoman" w:hAnsi="Arial"/>
          <w:sz w:val="24"/>
          <w:szCs w:val="24"/>
          <w:lang w:eastAsia="es-ES"/>
        </w:rPr>
        <w:t xml:space="preserve">que incrementó </w:t>
      </w:r>
      <w:r>
        <w:rPr>
          <w:rFonts w:ascii="Arial" w:cs="Arial" w:eastAsia="TimesNewRoman" w:hAnsi="Arial"/>
          <w:sz w:val="24"/>
          <w:szCs w:val="24"/>
          <w:lang w:eastAsia="es-ES"/>
        </w:rPr>
        <w:t xml:space="preserve">el mencionado </w:t>
      </w:r>
      <w:r>
        <w:rPr>
          <w:rFonts w:ascii="Arial" w:cs="Arial" w:eastAsia="TimesNewRoman" w:hAnsi="Arial"/>
          <w:sz w:val="24"/>
          <w:szCs w:val="24"/>
          <w:lang w:eastAsia="es-ES"/>
        </w:rPr>
        <w:t>riesgo</w:t>
      </w:r>
      <w:r>
        <w:rPr>
          <w:rFonts w:ascii="Arial" w:cs="Arial" w:eastAsia="TimesNewRoman" w:hAnsi="Arial"/>
          <w:sz w:val="24"/>
          <w:szCs w:val="24"/>
          <w:lang w:eastAsia="es-ES"/>
        </w:rPr>
        <w:t xml:space="preserve"> </w:t>
      </w:r>
      <w:r>
        <w:rPr>
          <w:rFonts w:ascii="Arial" w:cs="Arial" w:eastAsia="TimesNewRoman" w:hAnsi="Arial"/>
          <w:sz w:val="24"/>
          <w:szCs w:val="24"/>
          <w:lang w:eastAsia="es-ES"/>
        </w:rPr>
        <w:t xml:space="preserve">a </w:t>
      </w:r>
      <w:r>
        <w:rPr>
          <w:rFonts w:ascii="Arial" w:cs="Arial" w:eastAsia="TimesNewRoman" w:hAnsi="Arial"/>
          <w:sz w:val="24"/>
          <w:szCs w:val="24"/>
          <w:lang w:eastAsia="es-ES"/>
        </w:rPr>
        <w:t>2,85</w:t>
      </w:r>
      <w:r>
        <w:rPr>
          <w:rFonts w:ascii="Arial" w:cs="Arial" w:eastAsia="TimesNewRoman" w:hAnsi="Arial"/>
          <w:sz w:val="24"/>
          <w:szCs w:val="24"/>
          <w:lang w:eastAsia="es-ES"/>
        </w:rPr>
        <w:t xml:space="preserve"> veces más (IC 95%= </w:t>
      </w:r>
      <w:r>
        <w:rPr>
          <w:rFonts w:ascii="Arial" w:cs="Arial" w:hAnsi="Arial"/>
          <w:color w:val="010205"/>
          <w:sz w:val="24"/>
          <w:szCs w:val="24"/>
        </w:rPr>
        <w:t>2,17</w:t>
      </w:r>
      <w:r>
        <w:rPr>
          <w:rFonts w:ascii="Arial" w:cs="Arial" w:eastAsia="TimesNewRoman" w:hAnsi="Arial"/>
          <w:sz w:val="24"/>
          <w:szCs w:val="24"/>
          <w:lang w:eastAsia="es-ES"/>
        </w:rPr>
        <w:t>-3</w:t>
      </w:r>
      <w:r>
        <w:rPr>
          <w:rFonts w:ascii="Arial" w:cs="Arial" w:hAnsi="Arial"/>
          <w:color w:val="010205"/>
          <w:sz w:val="24"/>
          <w:szCs w:val="24"/>
        </w:rPr>
        <w:t>,7</w:t>
      </w:r>
      <w:r>
        <w:rPr>
          <w:rFonts w:ascii="Arial" w:cs="Arial" w:hAnsi="Arial"/>
          <w:color w:val="010205"/>
          <w:sz w:val="24"/>
          <w:szCs w:val="24"/>
        </w:rPr>
        <w:t>6</w:t>
      </w:r>
      <w:r>
        <w:rPr>
          <w:rFonts w:ascii="Arial" w:cs="Arial" w:eastAsia="TimesNewRoman" w:hAnsi="Arial"/>
          <w:sz w:val="24"/>
          <w:szCs w:val="24"/>
          <w:lang w:eastAsia="es-ES"/>
        </w:rPr>
        <w:t>; p= 0,000</w:t>
      </w:r>
      <w:r>
        <w:rPr>
          <w:rFonts w:ascii="Arial" w:cs="Arial" w:eastAsia="TimesNewRoman" w:hAnsi="Arial"/>
          <w:sz w:val="24"/>
          <w:szCs w:val="24"/>
          <w:lang w:eastAsia="es-ES"/>
        </w:rPr>
        <w:t xml:space="preserve">) en comparación con los </w:t>
      </w:r>
      <w:r>
        <w:rPr>
          <w:rFonts w:ascii="Arial" w:cs="Arial" w:eastAsia="TimesNewRoman" w:hAnsi="Arial"/>
          <w:sz w:val="24"/>
          <w:szCs w:val="24"/>
          <w:lang w:eastAsia="es-ES"/>
        </w:rPr>
        <w:t xml:space="preserve">pacientes sin este factor. La hipoxemia también se asoció al peor pronóstico de forma significativa (RR= </w:t>
      </w:r>
      <w:r>
        <w:rPr>
          <w:rFonts w:ascii="Arial" w:cs="Arial" w:eastAsia="TimesNewRoman" w:hAnsi="Arial"/>
          <w:sz w:val="24"/>
          <w:szCs w:val="24"/>
          <w:lang w:eastAsia="es-ES"/>
        </w:rPr>
        <w:t>2,48</w:t>
      </w:r>
      <w:r>
        <w:rPr>
          <w:rFonts w:ascii="Arial" w:cs="Arial" w:eastAsia="TimesNewRoman" w:hAnsi="Arial"/>
          <w:sz w:val="24"/>
          <w:szCs w:val="24"/>
          <w:lang w:eastAsia="es-ES"/>
        </w:rPr>
        <w:t>; IC= 1,3</w:t>
      </w:r>
      <w:r>
        <w:rPr>
          <w:rFonts w:ascii="Arial" w:cs="Arial" w:eastAsia="TimesNewRoman" w:hAnsi="Arial"/>
          <w:sz w:val="24"/>
          <w:szCs w:val="24"/>
          <w:lang w:eastAsia="es-ES"/>
        </w:rPr>
        <w:t xml:space="preserve">6 </w:t>
      </w:r>
      <w:r>
        <w:rPr>
          <w:rFonts w:ascii="Arial" w:cs="Arial" w:eastAsia="TimesNewRoman" w:hAnsi="Arial"/>
          <w:sz w:val="24"/>
          <w:szCs w:val="24"/>
          <w:lang w:eastAsia="es-ES"/>
        </w:rPr>
        <w:t xml:space="preserve">a </w:t>
      </w:r>
      <w:r>
        <w:rPr>
          <w:rFonts w:ascii="Arial" w:cs="Arial" w:eastAsia="TimesNewRoman" w:hAnsi="Arial"/>
          <w:sz w:val="24"/>
          <w:szCs w:val="24"/>
          <w:lang w:eastAsia="es-ES"/>
        </w:rPr>
        <w:t>3</w:t>
      </w:r>
      <w:r>
        <w:rPr>
          <w:rFonts w:ascii="Arial" w:cs="Arial" w:eastAsia="TimesNewRoman" w:hAnsi="Arial"/>
          <w:sz w:val="24"/>
          <w:szCs w:val="24"/>
          <w:lang w:eastAsia="es-ES"/>
        </w:rPr>
        <w:t>,</w:t>
      </w:r>
      <w:r>
        <w:rPr>
          <w:rFonts w:ascii="Arial" w:cs="Arial" w:eastAsia="TimesNewRoman" w:hAnsi="Arial"/>
          <w:sz w:val="24"/>
          <w:szCs w:val="24"/>
          <w:lang w:eastAsia="es-ES"/>
        </w:rPr>
        <w:t>30</w:t>
      </w:r>
      <w:r>
        <w:rPr>
          <w:rFonts w:ascii="Arial" w:cs="Arial" w:eastAsia="TimesNewRoman" w:hAnsi="Arial"/>
          <w:sz w:val="24"/>
          <w:szCs w:val="24"/>
          <w:lang w:eastAsia="es-ES"/>
        </w:rPr>
        <w:t>; p= 0,000).</w:t>
      </w:r>
      <w:r>
        <w:rPr>
          <w:rFonts w:ascii="Arial" w:cs="Arial" w:eastAsia="TimesNewRoman" w:hAnsi="Arial"/>
          <w:sz w:val="24"/>
          <w:szCs w:val="24"/>
          <w:lang w:eastAsia="es-ES"/>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El modelo de regresión logística binaria ajustado por el método paso a paso hacia </w:t>
      </w:r>
      <w:r>
        <w:rPr>
          <w:rFonts w:ascii="Arial" w:cs="Arial" w:hAnsi="Arial"/>
          <w:sz w:val="24"/>
          <w:szCs w:val="24"/>
        </w:rPr>
        <w:t>delante</w:t>
      </w:r>
      <w:r>
        <w:rPr>
          <w:rFonts w:ascii="Arial" w:cs="Arial" w:hAnsi="Arial"/>
          <w:sz w:val="24"/>
          <w:szCs w:val="24"/>
        </w:rPr>
        <w:t xml:space="preserve">, se realizó con el objetivo de obtener un ajuste apropiado del modelo con la menor cantidad de variables predictoras. El resultado se muestra en la Tabla </w:t>
      </w:r>
      <w:r>
        <w:rPr>
          <w:rFonts w:ascii="Arial" w:cs="Arial" w:hAnsi="Arial"/>
          <w:sz w:val="24"/>
          <w:szCs w:val="24"/>
        </w:rPr>
        <w:t>6.</w:t>
      </w:r>
      <w:r>
        <w:rPr>
          <w:rFonts w:ascii="Arial" w:cs="Arial" w:hAnsi="Arial"/>
          <w:sz w:val="24"/>
          <w:szCs w:val="24"/>
        </w:rPr>
        <w:t xml:space="preserve"> Se puso de manifiesto en el paso seis que con solo </w:t>
      </w:r>
      <w:r>
        <w:rPr>
          <w:rFonts w:ascii="Arial" w:cs="Arial" w:hAnsi="Arial"/>
          <w:sz w:val="24"/>
          <w:szCs w:val="24"/>
        </w:rPr>
        <w:t>7</w:t>
      </w:r>
      <w:r>
        <w:rPr>
          <w:rFonts w:ascii="Arial" w:cs="Arial" w:hAnsi="Arial"/>
          <w:sz w:val="24"/>
          <w:szCs w:val="24"/>
        </w:rPr>
        <w:t xml:space="preserve"> variables era suficiente para un ajuste adecuado del modelo.</w:t>
      </w:r>
      <w:r>
        <w:rPr>
          <w:rFonts w:ascii="Arial" w:cs="Arial" w:hAnsi="Arial"/>
          <w:sz w:val="24"/>
          <w:szCs w:val="24"/>
        </w:rPr>
        <w:t xml:space="preserve"> Los factores sobresalientes fueron en orden de importancia la neumonía multilobar </w:t>
      </w:r>
      <w:r>
        <w:rPr>
          <w:rFonts w:ascii="Arial" w:cs="Arial" w:eastAsia="TimesNewRoman" w:hAnsi="Arial"/>
          <w:sz w:val="24"/>
          <w:szCs w:val="24"/>
          <w:lang w:eastAsia="es-ES"/>
        </w:rPr>
        <w:t>(RR= 16,48; IC= 7,26 a 25,70; p= 0,000)</w:t>
      </w:r>
      <w:r>
        <w:rPr>
          <w:rFonts w:ascii="Arial" w:cs="Arial" w:hAnsi="Arial"/>
          <w:sz w:val="24"/>
          <w:szCs w:val="24"/>
        </w:rPr>
        <w:t xml:space="preserve">, la ERC </w:t>
      </w:r>
      <w:r>
        <w:rPr>
          <w:rFonts w:ascii="Arial" w:cs="Arial" w:eastAsia="TimesNewRoman" w:hAnsi="Arial"/>
          <w:sz w:val="24"/>
          <w:szCs w:val="24"/>
          <w:lang w:eastAsia="es-ES"/>
        </w:rPr>
        <w:t xml:space="preserve">(RR= 12,82; IC= 5,69 a 28,80; p= 0,000) </w:t>
      </w:r>
      <w:r>
        <w:rPr>
          <w:rFonts w:ascii="Arial" w:cs="Arial" w:hAnsi="Arial"/>
          <w:sz w:val="24"/>
          <w:szCs w:val="24"/>
        </w:rPr>
        <w:t xml:space="preserve">y el choque </w:t>
      </w:r>
      <w:r>
        <w:rPr>
          <w:rFonts w:ascii="Arial" w:cs="Arial" w:eastAsia="TimesNewRoman" w:hAnsi="Arial"/>
          <w:sz w:val="24"/>
          <w:szCs w:val="24"/>
          <w:lang w:eastAsia="es-ES"/>
        </w:rPr>
        <w:t xml:space="preserve">(RR= 11,92; IC= 6,47 a 17,56; p= 0,000). </w:t>
      </w:r>
      <w:r>
        <w:rPr>
          <w:rFonts w:ascii="Arial" w:cs="Arial" w:hAnsi="Arial"/>
          <w:sz w:val="24"/>
          <w:szCs w:val="24"/>
        </w:rPr>
        <w:t xml:space="preserve"> </w:t>
      </w:r>
    </w:p>
    <w:p>
      <w:pPr>
        <w:pStyle w:val="style0"/>
        <w:spacing w:after="0" w:lineRule="auto" w:line="360"/>
        <w:jc w:val="both"/>
        <w:rPr>
          <w:rFonts w:ascii="Arial" w:cs="Arial" w:hAnsi="Arial"/>
          <w:color w:val="000000"/>
          <w:sz w:val="24"/>
          <w:szCs w:val="24"/>
        </w:rPr>
      </w:pPr>
      <w:r>
        <w:rPr>
          <w:rFonts w:ascii="Arial" w:cs="Arial" w:hAnsi="Arial"/>
          <w:color w:val="000000"/>
          <w:sz w:val="24"/>
          <w:szCs w:val="24"/>
        </w:rPr>
        <w:t>La tabla 7</w:t>
      </w:r>
      <w:r>
        <w:rPr>
          <w:rFonts w:ascii="Arial" w:cs="Arial" w:hAnsi="Arial"/>
          <w:color w:val="000000"/>
          <w:sz w:val="24"/>
          <w:szCs w:val="24"/>
        </w:rPr>
        <w:t xml:space="preserve"> muestra el índice pronóstico propuesto</w:t>
      </w:r>
      <w:r>
        <w:rPr>
          <w:rFonts w:ascii="Arial" w:cs="Arial" w:hAnsi="Arial"/>
          <w:color w:val="000000"/>
          <w:sz w:val="24"/>
          <w:szCs w:val="24"/>
        </w:rPr>
        <w:t>, el cual está compuesto por los ítems y sus respe</w:t>
      </w:r>
      <w:r>
        <w:rPr>
          <w:rFonts w:ascii="Arial" w:cs="Arial" w:eastAsia="TimesNewRoman,Bold" w:hAnsi="Arial"/>
          <w:bCs/>
          <w:sz w:val="24"/>
          <w:szCs w:val="24"/>
          <w:lang w:eastAsia="es-ES"/>
        </w:rPr>
        <w:t>c</w:t>
      </w:r>
      <w:r>
        <w:rPr>
          <w:rFonts w:ascii="Arial" w:cs="Arial" w:hAnsi="Arial"/>
          <w:color w:val="000000"/>
          <w:sz w:val="24"/>
          <w:szCs w:val="24"/>
        </w:rPr>
        <w:t>tivas ponderaciones. Se expresa además, las categorías del índice y se puede observar que la mayo</w:t>
      </w:r>
      <w:r>
        <w:rPr>
          <w:rFonts w:ascii="Arial" w:cs="Arial" w:hAnsi="Arial"/>
          <w:color w:val="000000"/>
          <w:sz w:val="24"/>
          <w:szCs w:val="24"/>
        </w:rPr>
        <w:t>r mortalidad estuvo representada</w:t>
      </w:r>
      <w:r>
        <w:rPr>
          <w:rFonts w:ascii="Arial" w:cs="Arial" w:hAnsi="Arial"/>
          <w:color w:val="000000"/>
          <w:sz w:val="24"/>
          <w:szCs w:val="24"/>
        </w:rPr>
        <w:t xml:space="preserve"> por los pacientes clasificados en las categorías de mayor riesgo. De hecho clasificar en la categoría 3, significó una mortalidad de 100%.</w:t>
      </w:r>
    </w:p>
    <w:p>
      <w:pPr>
        <w:pStyle w:val="style0"/>
        <w:spacing w:after="0" w:lineRule="auto" w:line="360"/>
        <w:jc w:val="both"/>
        <w:rPr>
          <w:rFonts w:ascii="Arial" w:cs="Arial" w:hAnsi="Arial"/>
          <w:sz w:val="24"/>
          <w:szCs w:val="24"/>
        </w:rPr>
      </w:pPr>
      <w:r>
        <w:rPr>
          <w:rFonts w:ascii="Arial" w:cs="Arial" w:hAnsi="Arial"/>
          <w:sz w:val="24"/>
          <w:szCs w:val="24"/>
        </w:rPr>
        <w:t xml:space="preserve">Valores promedios </w:t>
      </w:r>
      <w:r>
        <w:rPr>
          <w:rFonts w:ascii="Arial" w:cs="Arial" w:hAnsi="Arial"/>
          <w:sz w:val="24"/>
          <w:szCs w:val="24"/>
        </w:rPr>
        <w:t>obtenidos por los fallecidos al aplicarles el</w:t>
      </w:r>
      <w:r>
        <w:rPr>
          <w:rFonts w:ascii="Arial" w:cs="Arial" w:hAnsi="Arial"/>
          <w:sz w:val="24"/>
          <w:szCs w:val="24"/>
        </w:rPr>
        <w:t xml:space="preserve"> índice </w:t>
      </w:r>
      <w:r>
        <w:rPr>
          <w:rFonts w:ascii="Arial" w:cs="Arial" w:hAnsi="Arial"/>
          <w:sz w:val="24"/>
          <w:szCs w:val="24"/>
        </w:rPr>
        <w:t>fueron más de</w:t>
      </w:r>
      <w:r>
        <w:rPr>
          <w:rFonts w:ascii="Arial" w:cs="Arial" w:hAnsi="Arial"/>
          <w:sz w:val="24"/>
          <w:szCs w:val="24"/>
        </w:rPr>
        <w:t>l</w:t>
      </w:r>
      <w:r>
        <w:rPr>
          <w:rFonts w:ascii="Arial" w:cs="Arial" w:hAnsi="Arial"/>
          <w:sz w:val="24"/>
          <w:szCs w:val="24"/>
        </w:rPr>
        <w:t xml:space="preserve"> doble en comparación con los vivos. Tabla 8.</w:t>
      </w:r>
    </w:p>
    <w:p>
      <w:pPr>
        <w:pStyle w:val="style4097"/>
        <w:spacing w:lineRule="auto" w:line="360"/>
        <w:jc w:val="both"/>
        <w:rPr>
          <w:rFonts w:ascii="Arial" w:cs="Arial" w:hAnsi="Arial"/>
        </w:rPr>
      </w:pPr>
      <w:r>
        <w:rPr>
          <w:rFonts w:ascii="Arial" w:cs="Arial" w:hAnsi="Arial"/>
          <w:b/>
          <w:bCs/>
        </w:rPr>
        <w:t xml:space="preserve">Validez del modelo </w:t>
      </w:r>
      <w:r>
        <w:rPr>
          <w:rFonts w:ascii="Arial" w:cs="Arial" w:hAnsi="Arial"/>
          <w:b/>
          <w:bCs/>
        </w:rPr>
        <w:t>(figura 1)</w:t>
      </w:r>
    </w:p>
    <w:p>
      <w:pPr>
        <w:pStyle w:val="style0"/>
        <w:spacing w:after="0" w:lineRule="auto" w:line="360"/>
        <w:jc w:val="both"/>
        <w:rPr>
          <w:rFonts w:ascii="Arial" w:cs="Arial" w:hAnsi="Arial"/>
          <w:sz w:val="24"/>
          <w:szCs w:val="24"/>
        </w:rPr>
      </w:pPr>
      <w:r>
        <w:rPr>
          <w:rFonts w:ascii="Arial" w:cs="Arial" w:hAnsi="Arial"/>
          <w:sz w:val="24"/>
          <w:szCs w:val="24"/>
        </w:rPr>
        <w:t xml:space="preserve">La capacidad discriminativa dada por el área bajo la curva característica operativa del receptor fue de </w:t>
      </w:r>
      <w:r>
        <w:rPr>
          <w:rFonts w:ascii="Arial" w:cs="Arial" w:hAnsi="Arial"/>
          <w:sz w:val="24"/>
          <w:szCs w:val="24"/>
        </w:rPr>
        <w:t>0,915</w:t>
      </w:r>
      <w:r>
        <w:rPr>
          <w:rFonts w:ascii="Arial" w:cs="Arial" w:hAnsi="Arial"/>
          <w:sz w:val="24"/>
          <w:szCs w:val="24"/>
        </w:rPr>
        <w:t xml:space="preserve"> </w:t>
      </w:r>
      <w:r>
        <w:rPr>
          <w:rFonts w:ascii="Arial" w:cs="Arial" w:hAnsi="Arial"/>
          <w:sz w:val="24"/>
          <w:szCs w:val="24"/>
        </w:rPr>
        <w:t xml:space="preserve">(intervalo de confianza: </w:t>
      </w:r>
      <w:r>
        <w:rPr>
          <w:rFonts w:ascii="Arial" w:cs="Arial" w:hAnsi="Arial"/>
          <w:sz w:val="24"/>
          <w:szCs w:val="24"/>
        </w:rPr>
        <w:t>0,</w:t>
      </w:r>
      <w:r>
        <w:rPr>
          <w:rFonts w:ascii="Arial" w:cs="Arial" w:hAnsi="Arial"/>
          <w:sz w:val="24"/>
          <w:szCs w:val="24"/>
        </w:rPr>
        <w:t>878</w:t>
      </w:r>
      <w:r>
        <w:rPr>
          <w:rFonts w:ascii="Arial" w:cs="Arial" w:hAnsi="Arial"/>
          <w:sz w:val="24"/>
          <w:szCs w:val="24"/>
        </w:rPr>
        <w:t>-0,9</w:t>
      </w:r>
      <w:r>
        <w:rPr>
          <w:rFonts w:ascii="Arial" w:cs="Arial" w:hAnsi="Arial"/>
          <w:sz w:val="24"/>
          <w:szCs w:val="24"/>
        </w:rPr>
        <w:t>5</w:t>
      </w:r>
      <w:r>
        <w:rPr>
          <w:rFonts w:ascii="Arial" w:cs="Arial" w:hAnsi="Arial"/>
          <w:sz w:val="24"/>
          <w:szCs w:val="24"/>
        </w:rPr>
        <w:t>3</w:t>
      </w:r>
      <w:r>
        <w:rPr>
          <w:rFonts w:ascii="Arial" w:cs="Arial" w:hAnsi="Arial"/>
          <w:sz w:val="24"/>
          <w:szCs w:val="24"/>
        </w:rPr>
        <w:t>; p=0,000).</w:t>
      </w:r>
      <w:r>
        <w:rPr>
          <w:rFonts w:ascii="Arial" w:cs="Arial" w:hAnsi="Arial"/>
          <w:sz w:val="24"/>
          <w:szCs w:val="24"/>
        </w:rPr>
        <w:t xml:space="preserve"> También el valor de la </w:t>
      </w:r>
      <w:r>
        <w:rPr>
          <w:rFonts w:ascii="Arial" w:cs="Arial" w:hAnsi="Arial"/>
          <w:sz w:val="24"/>
          <w:szCs w:val="24"/>
        </w:rPr>
        <w:t>p</w:t>
      </w:r>
      <w:r>
        <w:rPr>
          <w:rFonts w:ascii="Arial" w:cs="Arial" w:hAnsi="Arial"/>
          <w:bCs/>
          <w:color w:val="010205"/>
          <w:sz w:val="24"/>
          <w:szCs w:val="24"/>
        </w:rPr>
        <w:t>rueba de Hosmer y Lemeshow</w:t>
      </w:r>
      <w:r>
        <w:rPr>
          <w:rFonts w:ascii="Arial" w:cs="Arial" w:hAnsi="Arial"/>
          <w:bCs/>
          <w:color w:val="010205"/>
          <w:sz w:val="24"/>
          <w:szCs w:val="24"/>
        </w:rPr>
        <w:t xml:space="preserve"> (p= 0,807) indica que no hubo diferencias significativas entre lo predicho por índice y lo observado en la realidad, lo cual demuestra que la calibración también fue adecuada.  </w:t>
      </w:r>
    </w:p>
    <w:p>
      <w:pPr>
        <w:pStyle w:val="style0"/>
        <w:autoSpaceDE w:val="false"/>
        <w:autoSpaceDN w:val="false"/>
        <w:adjustRightInd w:val="false"/>
        <w:spacing w:after="0" w:lineRule="auto" w:line="360"/>
        <w:jc w:val="both"/>
        <w:rPr>
          <w:rFonts w:ascii="Arial" w:cs="Arial" w:eastAsia="TimesNewRoman" w:hAnsi="Arial"/>
          <w:sz w:val="24"/>
          <w:szCs w:val="24"/>
          <w:lang w:eastAsia="es-ES"/>
        </w:rPr>
      </w:pPr>
      <w:r>
        <w:rPr>
          <w:rFonts w:ascii="Arial" w:cs="Arial" w:hAnsi="Arial"/>
          <w:sz w:val="24"/>
          <w:szCs w:val="24"/>
        </w:rPr>
        <w:br w:type="page"/>
      </w:r>
    </w:p>
    <w:p>
      <w:pPr>
        <w:pStyle w:val="style0"/>
        <w:spacing w:after="0" w:lineRule="auto" w:line="360"/>
        <w:jc w:val="center"/>
        <w:rPr>
          <w:rFonts w:ascii="Arial" w:cs="Arial" w:hAnsi="Arial"/>
          <w:b/>
          <w:sz w:val="24"/>
          <w:szCs w:val="24"/>
        </w:rPr>
      </w:pPr>
      <w:r>
        <w:rPr>
          <w:rFonts w:ascii="Arial" w:cs="Arial" w:hAnsi="Arial"/>
          <w:b/>
          <w:sz w:val="24"/>
          <w:szCs w:val="24"/>
        </w:rPr>
        <w:t>DISCUSIÓN DE LOS RESULTADOS</w:t>
      </w:r>
    </w:p>
    <w:p>
      <w:pPr>
        <w:pStyle w:val="style0"/>
        <w:spacing w:after="0" w:lineRule="auto" w:line="360"/>
        <w:jc w:val="center"/>
        <w:rPr>
          <w:rFonts w:ascii="Arial" w:cs="Arial" w:hAnsi="Arial"/>
          <w:b/>
          <w:sz w:val="20"/>
          <w:szCs w:val="20"/>
          <w:lang w:eastAsia="es-VE"/>
        </w:rPr>
      </w:pPr>
    </w:p>
    <w:p>
      <w:pPr>
        <w:pStyle w:val="style0"/>
        <w:spacing w:after="0" w:lineRule="auto" w:line="360"/>
        <w:jc w:val="both"/>
        <w:rPr>
          <w:rFonts w:ascii="Arial" w:cs="Arial" w:hAnsi="Arial"/>
          <w:bCs/>
          <w:color w:val="000000"/>
          <w:sz w:val="24"/>
          <w:szCs w:val="24"/>
        </w:rPr>
      </w:pPr>
      <w:r>
        <w:rPr>
          <w:rFonts w:ascii="Arial" w:cs="Arial" w:hAnsi="Arial"/>
          <w:bCs/>
          <w:color w:val="000000"/>
          <w:sz w:val="24"/>
          <w:szCs w:val="24"/>
        </w:rPr>
        <w:t>Establecer el pronóstico de una enfermedad es un paso complejo, que no deja exento a la NAC, por su alta frecuencia y elevada mortalidad. Ante esta compleja situación, las herramientas pron</w:t>
      </w:r>
      <w:r>
        <w:rPr>
          <w:rFonts w:ascii="Arial" w:cs="Arial" w:hAnsi="Arial"/>
          <w:bCs/>
          <w:color w:val="000000"/>
          <w:sz w:val="24"/>
          <w:szCs w:val="24"/>
        </w:rPr>
        <w:t>ó</w:t>
      </w:r>
      <w:r>
        <w:rPr>
          <w:rFonts w:ascii="Arial" w:cs="Arial" w:hAnsi="Arial"/>
          <w:bCs/>
          <w:color w:val="000000"/>
          <w:sz w:val="24"/>
          <w:szCs w:val="24"/>
        </w:rPr>
        <w:t>stica</w:t>
      </w:r>
      <w:r>
        <w:rPr>
          <w:rFonts w:ascii="Arial" w:cs="Arial" w:hAnsi="Arial"/>
          <w:bCs/>
          <w:color w:val="000000"/>
          <w:sz w:val="24"/>
          <w:szCs w:val="24"/>
        </w:rPr>
        <w:t>s</w:t>
      </w:r>
      <w:r>
        <w:rPr>
          <w:rFonts w:ascii="Arial" w:cs="Arial" w:hAnsi="Arial"/>
          <w:bCs/>
          <w:color w:val="000000"/>
          <w:sz w:val="24"/>
          <w:szCs w:val="24"/>
        </w:rPr>
        <w:t xml:space="preserve"> son coadyuvantes a los médicos que asisten a los enfermos.</w:t>
      </w:r>
    </w:p>
    <w:p>
      <w:pPr>
        <w:pStyle w:val="style0"/>
        <w:spacing w:after="0" w:lineRule="auto" w:line="360"/>
        <w:jc w:val="both"/>
        <w:rPr>
          <w:rFonts w:ascii="Arial" w:cs="Arial" w:hAnsi="Arial"/>
          <w:bCs/>
          <w:color w:val="000000"/>
          <w:sz w:val="24"/>
          <w:szCs w:val="24"/>
        </w:rPr>
      </w:pPr>
      <w:r>
        <w:rPr>
          <w:rFonts w:ascii="Arial" w:cs="Arial" w:hAnsi="Arial"/>
          <w:bCs/>
          <w:color w:val="000000"/>
          <w:sz w:val="24"/>
          <w:szCs w:val="24"/>
        </w:rPr>
        <w:t xml:space="preserve">En la </w:t>
      </w:r>
      <w:r>
        <w:rPr>
          <w:rFonts w:ascii="Arial" w:cs="Arial" w:hAnsi="Arial"/>
          <w:bCs/>
          <w:color w:val="000000"/>
          <w:sz w:val="24"/>
          <w:szCs w:val="24"/>
        </w:rPr>
        <w:t xml:space="preserve">presente </w:t>
      </w:r>
      <w:r>
        <w:rPr>
          <w:rFonts w:ascii="Arial" w:cs="Arial" w:hAnsi="Arial"/>
          <w:bCs/>
          <w:color w:val="000000"/>
          <w:sz w:val="24"/>
          <w:szCs w:val="24"/>
        </w:rPr>
        <w:t>investigación</w:t>
      </w:r>
      <w:r>
        <w:rPr>
          <w:rFonts w:ascii="Arial" w:cs="Arial" w:hAnsi="Arial"/>
          <w:bCs/>
          <w:color w:val="000000"/>
          <w:sz w:val="24"/>
          <w:szCs w:val="24"/>
        </w:rPr>
        <w:t xml:space="preserve"> se </w:t>
      </w:r>
      <w:r>
        <w:rPr>
          <w:rFonts w:ascii="Arial" w:cs="Arial" w:hAnsi="Arial"/>
          <w:bCs/>
          <w:color w:val="000000"/>
          <w:sz w:val="24"/>
          <w:szCs w:val="24"/>
        </w:rPr>
        <w:t>derivó</w:t>
      </w:r>
      <w:r>
        <w:rPr>
          <w:rFonts w:ascii="Arial" w:cs="Arial" w:hAnsi="Arial"/>
          <w:bCs/>
          <w:color w:val="000000"/>
          <w:sz w:val="24"/>
          <w:szCs w:val="24"/>
        </w:rPr>
        <w:t xml:space="preserve"> un índice pronóstico </w:t>
      </w:r>
      <w:r>
        <w:rPr>
          <w:rFonts w:ascii="Arial" w:cs="Arial" w:hAnsi="Arial"/>
          <w:bCs/>
          <w:color w:val="000000"/>
          <w:sz w:val="24"/>
          <w:szCs w:val="24"/>
        </w:rPr>
        <w:t xml:space="preserve">de muerte de la NAC </w:t>
      </w:r>
      <w:r>
        <w:rPr>
          <w:rFonts w:ascii="Arial" w:cs="Arial" w:hAnsi="Arial"/>
          <w:bCs/>
          <w:color w:val="000000"/>
          <w:sz w:val="24"/>
          <w:szCs w:val="24"/>
        </w:rPr>
        <w:t xml:space="preserve">en pacientes con EPOC </w:t>
      </w:r>
      <w:r>
        <w:rPr>
          <w:rFonts w:ascii="Arial" w:cs="Arial" w:hAnsi="Arial"/>
          <w:bCs/>
          <w:color w:val="000000"/>
          <w:sz w:val="24"/>
          <w:szCs w:val="24"/>
        </w:rPr>
        <w:t xml:space="preserve">utilizando </w:t>
      </w:r>
      <w:r>
        <w:rPr>
          <w:rFonts w:ascii="Arial" w:cs="Arial" w:hAnsi="Arial"/>
          <w:bCs/>
          <w:color w:val="000000"/>
          <w:sz w:val="24"/>
          <w:szCs w:val="24"/>
        </w:rPr>
        <w:t>datos clínicos</w:t>
      </w:r>
      <w:r>
        <w:rPr>
          <w:rFonts w:ascii="Arial" w:cs="Arial" w:hAnsi="Arial"/>
          <w:bCs/>
          <w:color w:val="000000"/>
          <w:sz w:val="24"/>
          <w:szCs w:val="24"/>
        </w:rPr>
        <w:t xml:space="preserve"> y </w:t>
      </w:r>
      <w:r>
        <w:rPr>
          <w:rFonts w:ascii="Arial" w:cs="Arial" w:hAnsi="Arial"/>
          <w:bCs/>
          <w:color w:val="000000"/>
          <w:sz w:val="24"/>
          <w:szCs w:val="24"/>
        </w:rPr>
        <w:t xml:space="preserve">un mínimo de </w:t>
      </w:r>
      <w:r>
        <w:rPr>
          <w:rFonts w:ascii="Arial" w:cs="Arial" w:hAnsi="Arial"/>
          <w:bCs/>
          <w:color w:val="000000"/>
          <w:sz w:val="24"/>
          <w:szCs w:val="24"/>
        </w:rPr>
        <w:t xml:space="preserve">exámenes complementarios, </w:t>
      </w:r>
      <w:r>
        <w:rPr>
          <w:rFonts w:ascii="Arial" w:cs="Arial" w:hAnsi="Arial"/>
          <w:bCs/>
          <w:color w:val="000000"/>
          <w:sz w:val="24"/>
          <w:szCs w:val="24"/>
        </w:rPr>
        <w:t>disponibles en todo el sistema nacional de salud cubano.</w:t>
      </w:r>
    </w:p>
    <w:p>
      <w:pPr>
        <w:pStyle w:val="style0"/>
        <w:spacing w:after="0" w:lineRule="auto" w:line="360"/>
        <w:jc w:val="both"/>
        <w:rPr>
          <w:rFonts w:ascii="Arial" w:cs="Arial" w:hAnsi="Arial"/>
          <w:sz w:val="24"/>
          <w:szCs w:val="24"/>
        </w:rPr>
      </w:pPr>
      <w:r>
        <w:rPr>
          <w:rFonts w:ascii="Arial" w:cs="Arial" w:hAnsi="Arial"/>
          <w:sz w:val="24"/>
          <w:szCs w:val="24"/>
        </w:rPr>
        <w:t>El análisis de los factores sociodemográficos, hábitos tóxicos y estadía</w:t>
      </w:r>
      <w:r>
        <w:rPr>
          <w:rFonts w:ascii="Arial" w:cs="Arial" w:hAnsi="Arial"/>
          <w:sz w:val="24"/>
          <w:szCs w:val="24"/>
        </w:rPr>
        <w:t xml:space="preserve"> y su asociación con el riesgo de fallecer por NAC en pacientes con EPOC se pudo evidenciar que solo el hábito de fumar </w:t>
      </w:r>
      <w:r>
        <w:rPr>
          <w:rFonts w:ascii="Arial" w:cs="Arial" w:hAnsi="Arial"/>
          <w:sz w:val="24"/>
          <w:szCs w:val="24"/>
        </w:rPr>
        <w:t xml:space="preserve">y la edad mayor o igual a 65 años </w:t>
      </w:r>
      <w:r>
        <w:rPr>
          <w:rFonts w:ascii="Arial" w:cs="Arial" w:hAnsi="Arial"/>
          <w:sz w:val="24"/>
          <w:szCs w:val="24"/>
        </w:rPr>
        <w:t>tuv</w:t>
      </w:r>
      <w:r>
        <w:rPr>
          <w:rFonts w:ascii="Arial" w:cs="Arial" w:hAnsi="Arial"/>
          <w:sz w:val="24"/>
          <w:szCs w:val="24"/>
        </w:rPr>
        <w:t>ieron</w:t>
      </w:r>
      <w:r>
        <w:rPr>
          <w:rFonts w:ascii="Arial" w:cs="Arial" w:hAnsi="Arial"/>
          <w:sz w:val="24"/>
          <w:szCs w:val="24"/>
        </w:rPr>
        <w:t xml:space="preserve"> asociación estadísticamente significativa con el mencionado riesgo.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Es conocido que el hábito de fumar produce importantes alteraciones estructurales y funcionales en los distintos órganos de la economía. En nuestra investigación los fumadores tuvieron mayor riesgo de morir.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Coincidiendo con la presente tesis otros autores muestran resultados similares</w:t>
      </w:r>
      <w:r>
        <w:rPr>
          <w:rFonts w:ascii="Arial" w:cs="Arial" w:hAnsi="Arial"/>
          <w:sz w:val="24"/>
          <w:szCs w:val="24"/>
          <w:vertAlign w:val="superscript"/>
        </w:rPr>
        <w:t>4,</w:t>
      </w:r>
      <w:r>
        <w:rPr>
          <w:rFonts w:ascii="Arial" w:cs="Arial" w:hAnsi="Arial"/>
          <w:sz w:val="24"/>
          <w:szCs w:val="24"/>
          <w:vertAlign w:val="superscript"/>
        </w:rPr>
        <w:t xml:space="preserve"> </w:t>
      </w:r>
      <w:r>
        <w:rPr>
          <w:rFonts w:ascii="Arial" w:cs="Arial" w:hAnsi="Arial"/>
          <w:sz w:val="24"/>
          <w:szCs w:val="24"/>
          <w:vertAlign w:val="superscript"/>
        </w:rPr>
        <w:t>5,14-16,30</w:t>
      </w:r>
      <w:r>
        <w:rPr>
          <w:rFonts w:ascii="Arial" w:cs="Arial" w:hAnsi="Arial"/>
          <w:sz w:val="24"/>
          <w:szCs w:val="24"/>
        </w:rPr>
        <w:t>.</w:t>
      </w:r>
      <w:r>
        <w:rPr>
          <w:rFonts w:ascii="Arial" w:cs="Arial" w:hAnsi="Arial"/>
          <w:sz w:val="24"/>
          <w:szCs w:val="24"/>
        </w:rPr>
        <w:t xml:space="preserve"> </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Como se conoce el consumo de cigarrillos produce cambios en el epitelio de las vías aéreas, deteriorando los mecanismos de defensa local y arrastre, se le añade además el efecto tóxico sobre los macrófagos con mayor estimulación de la inmigración de polimorfonucleares, y estos a su vez liberan elastasas y proteasas que dañan al pulmón</w:t>
      </w:r>
      <w:r>
        <w:rPr>
          <w:rFonts w:ascii="Arial" w:cs="Arial" w:hAnsi="Arial"/>
          <w:sz w:val="24"/>
          <w:szCs w:val="24"/>
        </w:rPr>
        <w:t xml:space="preserve">, comprometiendo de esta forma la inmunidad local e incrementando el riesgo de NAC grave y por ende peor </w:t>
      </w:r>
      <w:r>
        <w:rPr>
          <w:rFonts w:ascii="Arial" w:cs="Arial" w:hAnsi="Arial"/>
          <w:sz w:val="24"/>
          <w:szCs w:val="24"/>
        </w:rPr>
        <w:t>pronóstico</w:t>
      </w:r>
      <w:r>
        <w:rPr>
          <w:rFonts w:ascii="Arial" w:cs="Arial" w:hAnsi="Arial"/>
          <w:sz w:val="24"/>
          <w:szCs w:val="24"/>
        </w:rPr>
        <w:t xml:space="preserve"> </w:t>
      </w:r>
      <w:r>
        <w:rPr>
          <w:rFonts w:ascii="Arial" w:cs="Arial" w:hAnsi="Arial"/>
          <w:sz w:val="24"/>
          <w:szCs w:val="24"/>
          <w:vertAlign w:val="superscript"/>
        </w:rPr>
        <w:t>29-31</w:t>
      </w:r>
      <w:r>
        <w:rPr>
          <w:rFonts w:ascii="Arial" w:cs="Arial" w:hAnsi="Arial"/>
          <w:sz w:val="24"/>
          <w:szCs w:val="24"/>
        </w:rPr>
        <w:t xml:space="preserve">. </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Examinando el riesgo individual, se ha comunicado hasta 1,8 veces más riesgo de neumonía en fumadores habituales comparados con la población no fumadora, observándose además una tendencia positiva en relación a la duración del hábito, por lo que la cesación del mismo, reduciría el riesgo de neumonía hasta en un 50% después de 5 años</w:t>
      </w:r>
      <w:r>
        <w:rPr>
          <w:rFonts w:ascii="Arial" w:cs="Arial" w:hAnsi="Arial"/>
          <w:sz w:val="24"/>
          <w:szCs w:val="24"/>
          <w:vertAlign w:val="superscript"/>
        </w:rPr>
        <w:t>30</w:t>
      </w:r>
      <w:r>
        <w:rPr>
          <w:rFonts w:ascii="Arial" w:cs="Arial" w:hAnsi="Arial"/>
          <w:sz w:val="24"/>
          <w:szCs w:val="24"/>
        </w:rPr>
        <w:t>.</w:t>
      </w:r>
      <w:r>
        <w:rPr>
          <w:rFonts w:ascii="Arial" w:cs="Arial" w:hAnsi="Arial"/>
          <w:sz w:val="24"/>
          <w:szCs w:val="24"/>
          <w:vertAlign w:val="superscript"/>
        </w:rPr>
        <w:t xml:space="preserv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Lo antes comentado serían explicaciones a los hallazgos de la presente serie.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Al igual que en la presente investigación otros autores citan a la senectud como un importante factor de riesgo de muerte por NAC en pacientes con EPOC</w:t>
      </w:r>
      <w:r>
        <w:rPr>
          <w:rFonts w:ascii="Arial" w:cs="Arial" w:hAnsi="Arial"/>
          <w:sz w:val="24"/>
          <w:szCs w:val="24"/>
          <w:vertAlign w:val="superscript"/>
        </w:rPr>
        <w:t>29-32</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Así por ejemplo, </w:t>
      </w:r>
      <w:r>
        <w:rPr>
          <w:rFonts w:ascii="Arial" w:cs="Arial" w:hAnsi="Arial"/>
          <w:sz w:val="24"/>
          <w:szCs w:val="24"/>
        </w:rPr>
        <w:t xml:space="preserve">Rodríguez Concepción </w:t>
      </w:r>
      <w:r>
        <w:rPr>
          <w:rFonts w:ascii="Arial" w:cs="Arial" w:hAnsi="Arial"/>
          <w:sz w:val="24"/>
          <w:szCs w:val="24"/>
        </w:rPr>
        <w:t xml:space="preserve">y colaboradores encontraron </w:t>
      </w:r>
      <w:r>
        <w:rPr>
          <w:rFonts w:ascii="Arial" w:cs="Arial" w:hAnsi="Arial"/>
          <w:sz w:val="24"/>
          <w:szCs w:val="24"/>
        </w:rPr>
        <w:t xml:space="preserve">un 97, 2% de </w:t>
      </w:r>
      <w:r>
        <w:rPr>
          <w:rFonts w:ascii="Arial" w:cs="Arial" w:hAnsi="Arial"/>
          <w:sz w:val="24"/>
          <w:szCs w:val="24"/>
        </w:rPr>
        <w:t>probabilidad de fallecer en estos pacientes</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El envejecimiento en sí mismo</w:t>
      </w:r>
      <w:r>
        <w:rPr>
          <w:rFonts w:ascii="Arial" w:cs="Arial" w:hAnsi="Arial"/>
          <w:sz w:val="24"/>
          <w:szCs w:val="24"/>
        </w:rPr>
        <w:t>,</w:t>
      </w:r>
      <w:r>
        <w:rPr>
          <w:rFonts w:ascii="Arial" w:cs="Arial" w:hAnsi="Arial"/>
          <w:sz w:val="24"/>
          <w:szCs w:val="24"/>
        </w:rPr>
        <w:t xml:space="preserve"> se asocia con trastornos degenerativos crónicos y, en</w:t>
      </w:r>
      <w:r>
        <w:rPr>
          <w:rFonts w:ascii="Arial" w:cs="Arial" w:hAnsi="Arial"/>
          <w:sz w:val="24"/>
          <w:szCs w:val="24"/>
        </w:rPr>
        <w:t xml:space="preserve"> </w:t>
      </w:r>
      <w:r>
        <w:rPr>
          <w:rFonts w:ascii="Arial" w:cs="Arial" w:hAnsi="Arial"/>
          <w:sz w:val="24"/>
          <w:szCs w:val="24"/>
        </w:rPr>
        <w:t>comparación con los controles sanos, la longitud de los telómeros, marcador de envejecimiento</w:t>
      </w:r>
      <w:r>
        <w:rPr>
          <w:rFonts w:ascii="Arial" w:cs="Arial" w:hAnsi="Arial"/>
          <w:sz w:val="24"/>
          <w:szCs w:val="24"/>
        </w:rPr>
        <w:t xml:space="preserve"> </w:t>
      </w:r>
      <w:r>
        <w:rPr>
          <w:rFonts w:ascii="Arial" w:cs="Arial" w:hAnsi="Arial"/>
          <w:sz w:val="24"/>
          <w:szCs w:val="24"/>
        </w:rPr>
        <w:t>celular, se reduce en los fumadores con función pulmonar normal y se redujo aún más en</w:t>
      </w:r>
      <w:r>
        <w:rPr>
          <w:rFonts w:ascii="Arial" w:cs="Arial" w:hAnsi="Arial"/>
          <w:sz w:val="24"/>
          <w:szCs w:val="24"/>
        </w:rPr>
        <w:t xml:space="preserve"> </w:t>
      </w:r>
      <w:r>
        <w:rPr>
          <w:rFonts w:ascii="Arial" w:cs="Arial" w:hAnsi="Arial"/>
          <w:sz w:val="24"/>
          <w:szCs w:val="24"/>
        </w:rPr>
        <w:t>pacientes EPOC</w:t>
      </w:r>
      <w:r>
        <w:rPr>
          <w:rFonts w:ascii="Arial" w:cs="Arial" w:hAnsi="Arial"/>
          <w:sz w:val="24"/>
          <w:szCs w:val="24"/>
          <w:vertAlign w:val="superscript"/>
        </w:rPr>
        <w:t>30</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Las personas de edad avanzada presentan características anatómicas y funcionales muy particulares en su aparato respiratorio</w:t>
      </w:r>
      <w:r>
        <w:rPr>
          <w:rFonts w:ascii="Arial" w:cs="Arial" w:hAnsi="Arial"/>
          <w:sz w:val="24"/>
          <w:szCs w:val="24"/>
          <w:vertAlign w:val="superscript"/>
        </w:rPr>
        <w:t>27</w:t>
      </w:r>
      <w:r>
        <w:rPr>
          <w:rFonts w:ascii="Arial" w:cs="Arial" w:hAnsi="Arial"/>
          <w:sz w:val="24"/>
          <w:szCs w:val="24"/>
        </w:rPr>
        <w:t>,</w:t>
      </w:r>
      <w:r>
        <w:rPr>
          <w:rFonts w:ascii="Arial" w:cs="Arial" w:hAnsi="Arial"/>
          <w:sz w:val="24"/>
          <w:szCs w:val="24"/>
        </w:rPr>
        <w:t xml:space="preserve"> estas alteraciones en la fisiología, como son la dismi</w:t>
      </w:r>
      <w:r>
        <w:rPr>
          <w:rFonts w:ascii="Arial" w:cs="Arial" w:hAnsi="Arial"/>
          <w:sz w:val="24"/>
          <w:szCs w:val="24"/>
        </w:rPr>
        <w:t>nución del reflejo tusígeno y</w:t>
      </w:r>
      <w:r>
        <w:rPr>
          <w:rFonts w:ascii="Arial" w:cs="Arial" w:hAnsi="Arial"/>
          <w:sz w:val="24"/>
          <w:szCs w:val="24"/>
        </w:rPr>
        <w:t xml:space="preserve"> la eliminación de secreciones, la elasticidad bronquial alterada y cambios en la motilidad muco ciliar; e inmunológicos</w:t>
      </w:r>
      <w:r>
        <w:rPr>
          <w:rFonts w:ascii="Arial" w:cs="Arial" w:hAnsi="Arial"/>
          <w:sz w:val="24"/>
          <w:szCs w:val="24"/>
        </w:rPr>
        <w:t xml:space="preserve"> (</w:t>
      </w:r>
      <w:r>
        <w:rPr>
          <w:rFonts w:ascii="Arial" w:cs="Arial" w:hAnsi="Arial"/>
          <w:sz w:val="24"/>
          <w:szCs w:val="24"/>
        </w:rPr>
        <w:t>deterioro de la inmunidad celular, con menor capacidad de respuesta a infecciones</w:t>
      </w:r>
      <w:r>
        <w:rPr>
          <w:rFonts w:ascii="Arial" w:cs="Arial" w:hAnsi="Arial"/>
          <w:sz w:val="24"/>
          <w:szCs w:val="24"/>
        </w:rPr>
        <w:t>)</w:t>
      </w:r>
      <w:r>
        <w:rPr>
          <w:rFonts w:ascii="Arial" w:cs="Arial" w:hAnsi="Arial"/>
          <w:sz w:val="24"/>
          <w:szCs w:val="24"/>
        </w:rPr>
        <w:t>, así como la mayor prevalencia de enfermedades crónicas asociadas (diabetes mellitus, cardiopatías, insuficiencia renal crónica, neoplasias</w:t>
      </w:r>
      <w:r>
        <w:rPr>
          <w:rFonts w:ascii="Arial" w:cs="Arial" w:hAnsi="Arial"/>
          <w:sz w:val="24"/>
          <w:szCs w:val="24"/>
        </w:rPr>
        <w:t>, etcétera</w:t>
      </w:r>
      <w:r>
        <w:rPr>
          <w:rFonts w:ascii="Arial" w:cs="Arial" w:hAnsi="Arial"/>
          <w:sz w:val="24"/>
          <w:szCs w:val="24"/>
        </w:rPr>
        <w:t>)</w:t>
      </w:r>
      <w:r>
        <w:rPr>
          <w:rFonts w:ascii="Arial" w:cs="Arial" w:hAnsi="Arial"/>
          <w:sz w:val="24"/>
          <w:szCs w:val="24"/>
        </w:rPr>
        <w:t xml:space="preserve"> </w:t>
      </w:r>
      <w:r>
        <w:rPr>
          <w:rFonts w:ascii="Arial" w:cs="Arial" w:hAnsi="Arial"/>
          <w:sz w:val="24"/>
          <w:szCs w:val="24"/>
        </w:rPr>
        <w:t>les confiere una especial labilidad biológica a estos enfermos</w:t>
      </w:r>
      <w:r>
        <w:rPr>
          <w:rFonts w:ascii="Arial" w:cs="Arial" w:hAnsi="Arial"/>
          <w:sz w:val="24"/>
          <w:szCs w:val="24"/>
          <w:vertAlign w:val="superscript"/>
        </w:rPr>
        <w:t>27-32</w:t>
      </w:r>
      <w:r>
        <w:rPr>
          <w:rFonts w:ascii="Arial" w:cs="Arial" w:hAnsi="Arial"/>
          <w:sz w:val="24"/>
          <w:szCs w:val="24"/>
        </w:rPr>
        <w:t xml:space="preserve">, </w:t>
      </w:r>
      <w:r>
        <w:rPr>
          <w:rFonts w:ascii="Arial" w:cs="Arial" w:hAnsi="Arial"/>
          <w:sz w:val="24"/>
          <w:szCs w:val="24"/>
        </w:rPr>
        <w:t>y</w:t>
      </w:r>
      <w:r>
        <w:rPr>
          <w:rFonts w:ascii="Arial" w:cs="Arial" w:hAnsi="Arial"/>
          <w:sz w:val="24"/>
          <w:szCs w:val="24"/>
        </w:rPr>
        <w:t xml:space="preserve"> explica parcialmente la elevada letalidad en el anciano</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 xml:space="preserve">Con respecto al sexo, no tuvo influencia en el pronóstico adverso de nuestros enfermos coincidiendo </w:t>
      </w:r>
      <w:r>
        <w:rPr>
          <w:rFonts w:ascii="Arial" w:cs="Arial" w:hAnsi="Arial"/>
          <w:sz w:val="24"/>
          <w:szCs w:val="24"/>
        </w:rPr>
        <w:t>otros autores</w:t>
      </w:r>
      <w:r>
        <w:rPr>
          <w:rFonts w:ascii="Arial" w:cs="Arial" w:hAnsi="Arial"/>
          <w:sz w:val="24"/>
          <w:szCs w:val="24"/>
          <w:vertAlign w:val="superscript"/>
        </w:rPr>
        <w:t>20-22</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 xml:space="preserve">Como explicación a los hallazgos se debe considerar que la exposición a los </w:t>
      </w:r>
      <w:r>
        <w:rPr>
          <w:rFonts w:ascii="Arial" w:cs="Arial" w:hAnsi="Arial"/>
          <w:sz w:val="24"/>
          <w:szCs w:val="24"/>
        </w:rPr>
        <w:t xml:space="preserve"> factores tóxicos y medios laborales en condiciones no muy favorables para el organismo en general y el aparato respiratorio en particular, </w:t>
      </w:r>
      <w:r>
        <w:rPr>
          <w:rFonts w:ascii="Arial" w:cs="Arial" w:hAnsi="Arial"/>
          <w:sz w:val="24"/>
          <w:szCs w:val="24"/>
        </w:rPr>
        <w:t xml:space="preserve">se cita </w:t>
      </w:r>
      <w:r>
        <w:rPr>
          <w:rFonts w:ascii="Arial" w:cs="Arial" w:hAnsi="Arial"/>
          <w:sz w:val="24"/>
          <w:szCs w:val="24"/>
        </w:rPr>
        <w:t>que en la mujer estos riesgos están en ascenso continuo igualándose o muy cercano al sexo opuesto, por lo que la mayoría de estudios multivariables no lo consideran como un factor pronóstico adverso</w:t>
      </w:r>
      <w:r>
        <w:rPr>
          <w:rFonts w:ascii="Arial" w:cs="Arial" w:hAnsi="Arial"/>
          <w:sz w:val="24"/>
          <w:szCs w:val="24"/>
          <w:vertAlign w:val="superscript"/>
        </w:rPr>
        <w:t>35-37</w:t>
      </w:r>
      <w:r>
        <w:rPr>
          <w:rFonts w:ascii="Arial" w:cs="Arial" w:hAnsi="Arial"/>
          <w:sz w:val="24"/>
          <w:szCs w:val="24"/>
        </w:rPr>
        <w:t>.</w:t>
      </w:r>
      <w:r>
        <w:rPr>
          <w:rFonts w:ascii="Arial" w:cs="Arial" w:hAnsi="Arial"/>
          <w:sz w:val="24"/>
          <w:szCs w:val="24"/>
          <w:vertAlign w:val="superscript"/>
        </w:rPr>
        <w:t xml:space="preserve"> </w:t>
      </w:r>
    </w:p>
    <w:p>
      <w:pPr>
        <w:pStyle w:val="style0"/>
        <w:autoSpaceDE w:val="false"/>
        <w:autoSpaceDN w:val="false"/>
        <w:adjustRightInd w:val="false"/>
        <w:spacing w:after="0" w:lineRule="auto" w:line="360"/>
        <w:jc w:val="both"/>
        <w:rPr>
          <w:rFonts w:ascii="Arial" w:cs="Arial" w:hAnsi="Arial"/>
          <w:lang w:val="es-MX"/>
        </w:rPr>
      </w:pPr>
      <w:r>
        <w:rPr>
          <w:rFonts w:ascii="Arial" w:cs="Arial" w:hAnsi="Arial"/>
          <w:sz w:val="24"/>
          <w:szCs w:val="24"/>
        </w:rPr>
        <w:t>No</w:t>
      </w:r>
      <w:r>
        <w:rPr>
          <w:rFonts w:ascii="Arial" w:cs="Arial" w:hAnsi="Arial"/>
          <w:sz w:val="24"/>
          <w:szCs w:val="24"/>
          <w:lang w:val="es-MX"/>
        </w:rPr>
        <w:t xml:space="preserve"> </w:t>
      </w:r>
      <w:r>
        <w:rPr>
          <w:rFonts w:ascii="Arial" w:cs="Arial" w:hAnsi="Arial"/>
          <w:sz w:val="24"/>
          <w:szCs w:val="24"/>
          <w:lang w:val="es-MX"/>
        </w:rPr>
        <w:t xml:space="preserve">se </w:t>
      </w:r>
      <w:r>
        <w:rPr>
          <w:rFonts w:ascii="Arial" w:cs="Arial" w:hAnsi="Arial"/>
          <w:sz w:val="24"/>
          <w:szCs w:val="24"/>
          <w:lang w:val="es-MX"/>
        </w:rPr>
        <w:t>encontr</w:t>
      </w:r>
      <w:r>
        <w:rPr>
          <w:rFonts w:ascii="Arial" w:cs="Arial" w:hAnsi="Arial"/>
          <w:sz w:val="24"/>
          <w:szCs w:val="24"/>
          <w:lang w:val="es-MX"/>
        </w:rPr>
        <w:t>ó</w:t>
      </w:r>
      <w:r>
        <w:rPr>
          <w:rFonts w:ascii="Arial" w:cs="Arial" w:hAnsi="Arial"/>
          <w:sz w:val="24"/>
          <w:szCs w:val="24"/>
          <w:lang w:val="es-MX"/>
        </w:rPr>
        <w:t>, evidencias que apoyen teóricamente el papel de algún estímulo fisiológico, inmunológico, bioquímico, genético u hormonal en la evolución más o menos favorable de la enfermedad en hombres o en mujeres, protegiéndolos o predisponiéndolos a la muerte</w:t>
      </w:r>
      <w:r>
        <w:rPr>
          <w:rFonts w:ascii="Arial" w:cs="Arial" w:hAnsi="Arial"/>
          <w:lang w:val="es-MX"/>
        </w:rPr>
        <w:t>.</w:t>
      </w:r>
    </w:p>
    <w:p>
      <w:pPr>
        <w:pStyle w:val="style0"/>
        <w:autoSpaceDE w:val="false"/>
        <w:autoSpaceDN w:val="false"/>
        <w:adjustRightInd w:val="false"/>
        <w:spacing w:after="0" w:lineRule="auto" w:line="360"/>
        <w:jc w:val="both"/>
        <w:rPr>
          <w:rFonts w:ascii="Arial" w:cs="Arial" w:hAnsi="Arial"/>
          <w:sz w:val="24"/>
          <w:szCs w:val="24"/>
          <w:lang w:val="es-MX"/>
        </w:rPr>
      </w:pPr>
      <w:r>
        <w:rPr>
          <w:rStyle w:val="style4102"/>
          <w:rFonts w:ascii="Arial" w:cs="Arial" w:hAnsi="Arial"/>
          <w:sz w:val="24"/>
          <w:szCs w:val="24"/>
        </w:rPr>
        <w:t>Sin dudas, e</w:t>
      </w:r>
      <w:r>
        <w:rPr>
          <w:rStyle w:val="style4102"/>
          <w:rFonts w:ascii="Arial" w:cs="Arial" w:hAnsi="Arial"/>
          <w:sz w:val="24"/>
          <w:szCs w:val="24"/>
        </w:rPr>
        <w:t xml:space="preserve">l alcoholismo constituye un factor de riesgo </w:t>
      </w:r>
      <w:r>
        <w:rPr>
          <w:rStyle w:val="style4102"/>
          <w:rFonts w:ascii="Arial" w:cs="Arial" w:hAnsi="Arial"/>
          <w:sz w:val="24"/>
          <w:szCs w:val="24"/>
        </w:rPr>
        <w:t xml:space="preserve">para un sinnúmero de enfermedades y por supuesto la </w:t>
      </w:r>
      <w:r>
        <w:rPr>
          <w:rStyle w:val="style4102"/>
          <w:rFonts w:ascii="Arial" w:cs="Arial" w:hAnsi="Arial"/>
          <w:sz w:val="24"/>
          <w:szCs w:val="24"/>
        </w:rPr>
        <w:t>NAC</w:t>
      </w:r>
      <w:r>
        <w:rPr>
          <w:rStyle w:val="style4102"/>
          <w:rFonts w:ascii="Arial" w:cs="Arial" w:hAnsi="Arial"/>
          <w:sz w:val="24"/>
          <w:szCs w:val="24"/>
        </w:rPr>
        <w:t xml:space="preserve"> no es la excepción</w:t>
      </w:r>
      <w:r>
        <w:rPr>
          <w:rStyle w:val="style4102"/>
          <w:rFonts w:ascii="Arial" w:cs="Arial" w:hAnsi="Arial"/>
          <w:sz w:val="24"/>
          <w:szCs w:val="24"/>
        </w:rPr>
        <w:t xml:space="preserve">, </w:t>
      </w:r>
      <w:r>
        <w:rPr>
          <w:rStyle w:val="style4102"/>
          <w:rFonts w:ascii="Arial" w:cs="Arial" w:hAnsi="Arial"/>
          <w:sz w:val="24"/>
          <w:szCs w:val="24"/>
        </w:rPr>
        <w:t xml:space="preserve">al influir en las mayores incidencias de </w:t>
      </w:r>
      <w:r>
        <w:rPr>
          <w:rStyle w:val="style4102"/>
          <w:rFonts w:ascii="Arial" w:cs="Arial" w:hAnsi="Arial"/>
          <w:sz w:val="24"/>
          <w:szCs w:val="24"/>
        </w:rPr>
        <w:t>complicaciones, que se acompañe</w:t>
      </w:r>
      <w:r>
        <w:rPr>
          <w:rStyle w:val="style4102"/>
          <w:rFonts w:ascii="Arial" w:cs="Arial" w:hAnsi="Arial"/>
          <w:sz w:val="24"/>
          <w:szCs w:val="24"/>
        </w:rPr>
        <w:t xml:space="preserve"> </w:t>
      </w:r>
      <w:r>
        <w:rPr>
          <w:rStyle w:val="style4102"/>
          <w:rFonts w:ascii="Arial" w:cs="Arial" w:hAnsi="Arial"/>
          <w:sz w:val="24"/>
          <w:szCs w:val="24"/>
        </w:rPr>
        <w:t>de sepsis, prolongación de la estadía y empeoramiento del pronóstico</w:t>
      </w:r>
      <w:r>
        <w:rPr>
          <w:rStyle w:val="style4102"/>
          <w:rFonts w:ascii="Arial" w:cs="Arial" w:hAnsi="Arial"/>
          <w:sz w:val="24"/>
          <w:szCs w:val="24"/>
          <w:vertAlign w:val="superscript"/>
        </w:rPr>
        <w:t>38</w:t>
      </w:r>
      <w:r>
        <w:rPr>
          <w:rStyle w:val="style4102"/>
          <w:rFonts w:ascii="Arial" w:cs="Arial" w:hAnsi="Arial"/>
          <w:sz w:val="24"/>
          <w:szCs w:val="24"/>
        </w:rPr>
        <w:t xml:space="preserv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La ingestión de alcohol ocasiona deterioro inmunológico, así como alteración en el metabolismo general de muchos fármacos que son usados en el tratamiento de la NAC</w:t>
      </w:r>
      <w:r>
        <w:rPr>
          <w:rFonts w:ascii="Arial" w:cs="Arial" w:hAnsi="Arial"/>
          <w:sz w:val="24"/>
          <w:szCs w:val="24"/>
          <w:vertAlign w:val="superscript"/>
        </w:rPr>
        <w:t>39-41</w:t>
      </w:r>
      <w:r>
        <w:rPr>
          <w:rFonts w:ascii="Arial" w:cs="Arial" w:hAnsi="Arial"/>
          <w:sz w:val="24"/>
          <w:szCs w:val="24"/>
        </w:rPr>
        <w:t>,</w:t>
      </w:r>
      <w:r>
        <w:rPr>
          <w:rFonts w:ascii="Arial" w:cs="Arial" w:hAnsi="Arial"/>
          <w:sz w:val="24"/>
          <w:szCs w:val="24"/>
          <w:vertAlign w:val="superscript"/>
        </w:rPr>
        <w:t xml:space="preserve"> </w:t>
      </w:r>
      <w:r>
        <w:rPr>
          <w:rFonts w:ascii="Arial" w:cs="Arial" w:hAnsi="Arial"/>
          <w:sz w:val="24"/>
          <w:szCs w:val="24"/>
        </w:rPr>
        <w:t xml:space="preserve">sin embargo, no constituyó un factor de pronóstico adverso en nuestra serie.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Las explicaciones a nuestros hallazgos serían que el mayor número de los pacientes fallecidos pertenecían a la tercera edad y que habitualmente ya han abandon</w:t>
      </w:r>
      <w:r>
        <w:rPr>
          <w:rFonts w:ascii="Arial" w:cs="Arial" w:hAnsi="Arial"/>
          <w:sz w:val="24"/>
          <w:szCs w:val="24"/>
        </w:rPr>
        <w:t>ado</w:t>
      </w:r>
      <w:r>
        <w:rPr>
          <w:rFonts w:ascii="Arial" w:cs="Arial" w:hAnsi="Arial"/>
          <w:sz w:val="24"/>
          <w:szCs w:val="24"/>
        </w:rPr>
        <w:t xml:space="preserve"> este hábito por varios años como consecuencia de los cambios en los estilos de vida que se ha logrado introducir en nuestra población senil en las áreas de atención primaria de salud como política del estado cubano</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Con respecto a la estadía, Navarro-Baldellot y colaboradores</w:t>
      </w:r>
      <w:r>
        <w:rPr>
          <w:rFonts w:ascii="Arial" w:cs="Arial" w:hAnsi="Arial"/>
          <w:sz w:val="24"/>
          <w:szCs w:val="24"/>
          <w:vertAlign w:val="superscript"/>
        </w:rPr>
        <w:t>42</w:t>
      </w:r>
      <w:r>
        <w:rPr>
          <w:rFonts w:ascii="Arial" w:cs="Arial" w:hAnsi="Arial"/>
          <w:sz w:val="24"/>
          <w:szCs w:val="24"/>
        </w:rPr>
        <w:t xml:space="preserve"> </w:t>
      </w:r>
      <w:r>
        <w:rPr>
          <w:rFonts w:ascii="Arial" w:cs="Arial" w:hAnsi="Arial"/>
          <w:sz w:val="24"/>
          <w:szCs w:val="24"/>
        </w:rPr>
        <w:t xml:space="preserve">encontraron una </w:t>
      </w:r>
      <w:r>
        <w:rPr>
          <w:rFonts w:ascii="Arial" w:cs="Arial" w:hAnsi="Arial"/>
          <w:sz w:val="24"/>
          <w:szCs w:val="24"/>
        </w:rPr>
        <w:t>media</w:t>
      </w:r>
      <w:r>
        <w:rPr>
          <w:rFonts w:ascii="Arial" w:cs="Arial" w:hAnsi="Arial"/>
          <w:sz w:val="24"/>
          <w:szCs w:val="24"/>
        </w:rPr>
        <w:t xml:space="preserve"> de</w:t>
      </w:r>
      <w:r>
        <w:rPr>
          <w:rFonts w:ascii="Arial" w:cs="Arial" w:hAnsi="Arial"/>
          <w:sz w:val="24"/>
          <w:szCs w:val="24"/>
        </w:rPr>
        <w:t xml:space="preserve"> </w:t>
      </w:r>
      <w:r>
        <w:rPr>
          <w:rFonts w:ascii="Arial" w:cs="Arial" w:hAnsi="Arial"/>
          <w:sz w:val="24"/>
          <w:szCs w:val="24"/>
        </w:rPr>
        <w:t>aproximadamente 8 días</w:t>
      </w:r>
      <w:r>
        <w:rPr>
          <w:rFonts w:ascii="Arial" w:cs="Arial" w:hAnsi="Arial"/>
          <w:sz w:val="24"/>
          <w:szCs w:val="24"/>
        </w:rPr>
        <w:t>, algo similar a los resultados de la presente serie</w:t>
      </w:r>
      <w:r>
        <w:rPr>
          <w:rFonts w:ascii="Arial" w:cs="Arial" w:hAnsi="Arial"/>
          <w:sz w:val="24"/>
          <w:szCs w:val="24"/>
        </w:rPr>
        <w:t xml:space="preserve">. </w:t>
      </w:r>
      <w:r>
        <w:rPr>
          <w:rFonts w:ascii="Arial" w:cs="Arial" w:hAnsi="Arial"/>
          <w:sz w:val="24"/>
          <w:szCs w:val="24"/>
        </w:rPr>
        <w:t>De igual manera no encontraron diferencia estadísticamente significativa entre el riesgo de fallecer y la mayor estadía</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Este</w:t>
      </w:r>
      <w:r>
        <w:rPr>
          <w:rFonts w:ascii="Arial" w:cs="Arial" w:hAnsi="Arial"/>
          <w:sz w:val="24"/>
          <w:szCs w:val="24"/>
        </w:rPr>
        <w:t xml:space="preserve"> </w:t>
      </w:r>
      <w:r>
        <w:rPr>
          <w:rFonts w:ascii="Arial" w:cs="Arial" w:hAnsi="Arial"/>
          <w:sz w:val="24"/>
          <w:szCs w:val="24"/>
        </w:rPr>
        <w:t>resultado</w:t>
      </w:r>
      <w:r>
        <w:rPr>
          <w:rFonts w:ascii="Arial" w:cs="Arial" w:hAnsi="Arial"/>
          <w:sz w:val="24"/>
          <w:szCs w:val="24"/>
        </w:rPr>
        <w:t xml:space="preserve"> se explica en gran medida</w:t>
      </w:r>
      <w:r>
        <w:rPr>
          <w:rFonts w:ascii="Arial" w:cs="Arial" w:hAnsi="Arial"/>
          <w:sz w:val="24"/>
          <w:szCs w:val="24"/>
        </w:rPr>
        <w:t xml:space="preserve"> </w:t>
      </w:r>
      <w:r>
        <w:rPr>
          <w:rFonts w:ascii="Arial" w:cs="Arial" w:hAnsi="Arial"/>
          <w:sz w:val="24"/>
          <w:szCs w:val="24"/>
        </w:rPr>
        <w:t>por</w:t>
      </w:r>
      <w:r>
        <w:rPr>
          <w:rFonts w:ascii="Arial" w:cs="Arial" w:hAnsi="Arial"/>
          <w:sz w:val="24"/>
          <w:szCs w:val="24"/>
        </w:rPr>
        <w:t xml:space="preserve"> </w:t>
      </w:r>
      <w:r>
        <w:rPr>
          <w:rFonts w:ascii="Arial" w:cs="Arial" w:hAnsi="Arial"/>
          <w:sz w:val="24"/>
          <w:szCs w:val="24"/>
        </w:rPr>
        <w:t>la agresividad de los procesos infecciosos y el</w:t>
      </w:r>
      <w:r>
        <w:rPr>
          <w:rFonts w:ascii="Arial" w:cs="Arial" w:hAnsi="Arial"/>
          <w:sz w:val="24"/>
          <w:szCs w:val="24"/>
        </w:rPr>
        <w:t xml:space="preserve"> </w:t>
      </w:r>
      <w:r>
        <w:rPr>
          <w:rFonts w:ascii="Arial" w:cs="Arial" w:hAnsi="Arial"/>
          <w:sz w:val="24"/>
          <w:szCs w:val="24"/>
        </w:rPr>
        <w:t>agotamiento de las reservas fisiológicas de la</w:t>
      </w:r>
      <w:r>
        <w:rPr>
          <w:rFonts w:ascii="Arial" w:cs="Arial" w:hAnsi="Arial"/>
          <w:sz w:val="24"/>
          <w:szCs w:val="24"/>
        </w:rPr>
        <w:t xml:space="preserve"> </w:t>
      </w:r>
      <w:r>
        <w:rPr>
          <w:rFonts w:ascii="Arial" w:cs="Arial" w:hAnsi="Arial"/>
          <w:sz w:val="24"/>
          <w:szCs w:val="24"/>
        </w:rPr>
        <w:t>mayoría de la población objeto de estudio, lo que</w:t>
      </w:r>
      <w:r>
        <w:rPr>
          <w:rFonts w:ascii="Arial" w:cs="Arial" w:hAnsi="Arial"/>
          <w:sz w:val="24"/>
          <w:szCs w:val="24"/>
        </w:rPr>
        <w:t xml:space="preserve"> </w:t>
      </w:r>
      <w:r>
        <w:rPr>
          <w:rFonts w:ascii="Arial" w:cs="Arial" w:hAnsi="Arial"/>
          <w:sz w:val="24"/>
          <w:szCs w:val="24"/>
        </w:rPr>
        <w:t>motiva el desenlace fatal en estos pacientes</w:t>
      </w:r>
      <w:r>
        <w:rPr>
          <w:rFonts w:ascii="Arial" w:cs="Arial" w:hAnsi="Arial"/>
          <w:sz w:val="24"/>
          <w:szCs w:val="24"/>
          <w:vertAlign w:val="superscript"/>
        </w:rPr>
        <w:t>42,43</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Las neoplasias malignas han sido consideradas como otro factor de pronóstico adverso en los enfermos con NAC independientemente del sitio anatómico.</w:t>
      </w:r>
      <w:r>
        <w:rPr>
          <w:rFonts w:ascii="Arial" w:cs="Arial" w:hAnsi="Arial"/>
          <w:sz w:val="24"/>
          <w:szCs w:val="24"/>
        </w:rPr>
        <w:t xml:space="preserve"> </w:t>
      </w:r>
      <w:r>
        <w:rPr>
          <w:rFonts w:ascii="Arial" w:cs="Arial" w:hAnsi="Arial"/>
          <w:sz w:val="24"/>
          <w:szCs w:val="24"/>
        </w:rPr>
        <w:t>Sin embargo, algunos autores no encontraron tal asociación</w:t>
      </w:r>
      <w:r>
        <w:rPr>
          <w:rFonts w:ascii="Arial" w:cs="Arial" w:hAnsi="Arial"/>
          <w:sz w:val="24"/>
          <w:szCs w:val="24"/>
          <w:vertAlign w:val="superscript"/>
        </w:rPr>
        <w:t>37,44</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Times New Roman" w:hAnsi="Arial"/>
          <w:sz w:val="24"/>
          <w:szCs w:val="24"/>
          <w:lang w:val="es-ES"/>
        </w:rPr>
        <w:t xml:space="preserve">Coincidiendo con la presente investigación </w:t>
      </w:r>
      <w:r>
        <w:rPr>
          <w:rFonts w:ascii="Arial" w:cs="Arial" w:hAnsi="Arial"/>
          <w:sz w:val="24"/>
          <w:szCs w:val="24"/>
        </w:rPr>
        <w:t>Saldías-Peñafiel</w:t>
      </w:r>
      <w:r>
        <w:rPr>
          <w:rFonts w:ascii="Arial" w:cs="Arial" w:hAnsi="Arial"/>
          <w:sz w:val="24"/>
          <w:szCs w:val="24"/>
          <w:vertAlign w:val="superscript"/>
        </w:rPr>
        <w:t>45</w:t>
      </w:r>
      <w:r>
        <w:rPr>
          <w:rFonts w:ascii="Arial" w:cs="Arial" w:hAnsi="Arial"/>
          <w:sz w:val="24"/>
          <w:szCs w:val="24"/>
        </w:rPr>
        <w:t xml:space="preserve"> y Clemente</w:t>
      </w:r>
      <w:r>
        <w:rPr>
          <w:rFonts w:ascii="Arial" w:cs="Arial" w:hAnsi="Arial"/>
          <w:sz w:val="24"/>
          <w:szCs w:val="24"/>
          <w:vertAlign w:val="superscript"/>
        </w:rPr>
        <w:t>46</w:t>
      </w:r>
      <w:r>
        <w:rPr>
          <w:rFonts w:ascii="Arial" w:cs="Arial" w:hAnsi="Arial"/>
          <w:sz w:val="24"/>
          <w:szCs w:val="24"/>
        </w:rPr>
        <w:t xml:space="preserve"> encuentra que sus </w:t>
      </w:r>
      <w:r>
        <w:rPr>
          <w:rFonts w:ascii="Arial" w:cs="Arial" w:hAnsi="Arial"/>
          <w:sz w:val="24"/>
          <w:szCs w:val="24"/>
        </w:rPr>
        <w:t>pacientes</w:t>
      </w:r>
      <w:r>
        <w:rPr>
          <w:rFonts w:ascii="Arial" w:cs="Arial" w:hAnsi="Arial"/>
          <w:sz w:val="24"/>
          <w:szCs w:val="24"/>
        </w:rPr>
        <w:t xml:space="preserve"> atendidos con NAC y neoplasias malignas fallecen, </w:t>
      </w:r>
      <w:r>
        <w:rPr>
          <w:rFonts w:ascii="Arial" w:cs="Arial" w:hAnsi="Arial"/>
          <w:sz w:val="24"/>
          <w:szCs w:val="24"/>
        </w:rPr>
        <w:t xml:space="preserve">con un </w:t>
      </w:r>
      <w:r>
        <w:rPr>
          <w:rFonts w:ascii="Arial" w:cs="Arial" w:hAnsi="Arial"/>
          <w:sz w:val="24"/>
          <w:szCs w:val="24"/>
        </w:rPr>
        <w:t xml:space="preserve">riesgo mayor de dos (RR: 2,42) y cuatro veces (RR: 4,08)  respectivamente. </w:t>
      </w:r>
    </w:p>
    <w:p>
      <w:pPr>
        <w:pStyle w:val="style0"/>
        <w:spacing w:after="0" w:lineRule="auto" w:line="360"/>
        <w:jc w:val="both"/>
        <w:rPr>
          <w:rFonts w:ascii="Arial" w:cs="Arial" w:hAnsi="Arial"/>
          <w:sz w:val="24"/>
          <w:szCs w:val="24"/>
        </w:rPr>
      </w:pPr>
      <w:r>
        <w:rPr>
          <w:rFonts w:ascii="Arial" w:cs="Arial" w:hAnsi="Arial"/>
          <w:sz w:val="24"/>
          <w:szCs w:val="24"/>
        </w:rPr>
        <w:t>La importante contribución de este factor se centra en la evidencia que u</w:t>
      </w:r>
      <w:r>
        <w:rPr>
          <w:rFonts w:ascii="Arial" w:cs="Arial" w:hAnsi="Arial"/>
          <w:sz w:val="24"/>
          <w:szCs w:val="24"/>
        </w:rPr>
        <w:t>na de las complicaciones más comunes y a la vez más graves del paciente con cáncer en su curso natural es el desarrollo de infecciones. Esta complicación se debe a varios factores:</w:t>
      </w:r>
      <w:r>
        <w:rPr>
          <w:rFonts w:ascii="Arial" w:cs="Arial" w:hAnsi="Arial"/>
          <w:i/>
          <w:iCs/>
          <w:sz w:val="24"/>
          <w:szCs w:val="24"/>
        </w:rPr>
        <w:t xml:space="preserve"> </w:t>
      </w:r>
      <w:r>
        <w:rPr>
          <w:rFonts w:ascii="Arial" w:cs="Arial" w:hAnsi="Arial"/>
          <w:sz w:val="24"/>
          <w:szCs w:val="24"/>
        </w:rPr>
        <w:t>neutropenia, alteraciones de la inmunidad humoral y celular, lesiones en la piel y mucosas que facilitan la penetración de gérmenes y</w:t>
      </w:r>
      <w:r>
        <w:rPr>
          <w:rFonts w:ascii="Arial" w:cs="Arial" w:hAnsi="Arial"/>
          <w:i/>
          <w:iCs/>
          <w:sz w:val="24"/>
          <w:szCs w:val="24"/>
        </w:rPr>
        <w:t xml:space="preserve"> </w:t>
      </w:r>
      <w:r>
        <w:rPr>
          <w:rFonts w:ascii="Arial" w:cs="Arial" w:hAnsi="Arial"/>
          <w:sz w:val="24"/>
          <w:szCs w:val="24"/>
        </w:rPr>
        <w:t>cambios en la composición de la flora microbiana normal</w:t>
      </w:r>
      <w:r>
        <w:rPr>
          <w:rFonts w:ascii="Arial" w:cs="Arial" w:hAnsi="Arial"/>
          <w:sz w:val="24"/>
          <w:szCs w:val="24"/>
          <w:vertAlign w:val="superscript"/>
        </w:rPr>
        <w:t>46-48</w:t>
      </w:r>
      <w:r>
        <w:rPr>
          <w:rFonts w:ascii="Arial" w:cs="Arial" w:hAnsi="Arial"/>
          <w:sz w:val="24"/>
          <w:szCs w:val="24"/>
        </w:rPr>
        <w:t>.</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Lo anterior comentado </w:t>
      </w:r>
      <w:r>
        <w:rPr>
          <w:rFonts w:ascii="Arial" w:cs="Arial" w:hAnsi="Arial"/>
          <w:sz w:val="24"/>
          <w:szCs w:val="24"/>
        </w:rPr>
        <w:t>pudiera</w:t>
      </w:r>
      <w:r>
        <w:rPr>
          <w:rFonts w:ascii="Arial" w:cs="Arial" w:hAnsi="Arial"/>
          <w:sz w:val="24"/>
          <w:szCs w:val="24"/>
        </w:rPr>
        <w:t xml:space="preserve"> explicar por sí solos su implicación significativa en la mortalidad encontrada en nuestro estudio y por otros autores.</w:t>
      </w:r>
    </w:p>
    <w:p>
      <w:pPr>
        <w:pStyle w:val="style0"/>
        <w:spacing w:after="0" w:lineRule="auto" w:line="360"/>
        <w:jc w:val="both"/>
        <w:rPr>
          <w:rFonts w:ascii="Arial" w:cs="Arial" w:hAnsi="Arial"/>
          <w:sz w:val="24"/>
          <w:szCs w:val="24"/>
        </w:rPr>
      </w:pPr>
      <w:r>
        <w:rPr>
          <w:rFonts w:ascii="Arial" w:cs="Arial" w:hAnsi="Arial"/>
          <w:sz w:val="24"/>
          <w:szCs w:val="24"/>
        </w:rPr>
        <w:t>La enfermedad renal crónica</w:t>
      </w:r>
      <w:r>
        <w:rPr>
          <w:rFonts w:ascii="Arial" w:cs="Arial" w:hAnsi="Arial"/>
          <w:b/>
          <w:sz w:val="24"/>
          <w:szCs w:val="24"/>
        </w:rPr>
        <w:t xml:space="preserve"> </w:t>
      </w:r>
      <w:r>
        <w:rPr>
          <w:rFonts w:ascii="Arial" w:cs="Arial" w:hAnsi="Arial"/>
          <w:sz w:val="24"/>
          <w:szCs w:val="24"/>
        </w:rPr>
        <w:t>fue relacionada por varios investigadores</w:t>
      </w:r>
      <w:r>
        <w:rPr>
          <w:rFonts w:ascii="Arial" w:cs="Arial" w:hAnsi="Arial"/>
          <w:sz w:val="24"/>
          <w:szCs w:val="24"/>
          <w:vertAlign w:val="superscript"/>
        </w:rPr>
        <w:t>17,49,50</w:t>
      </w:r>
      <w:r>
        <w:rPr>
          <w:rFonts w:ascii="Arial" w:cs="Arial" w:hAnsi="Arial"/>
          <w:sz w:val="24"/>
          <w:szCs w:val="24"/>
        </w:rPr>
        <w:t xml:space="preserve"> como un factor de mal pronóstico en los enfermos con NAC</w:t>
      </w:r>
      <w:r>
        <w:rPr>
          <w:rFonts w:ascii="Arial" w:cs="Arial" w:hAnsi="Arial"/>
          <w:sz w:val="24"/>
          <w:szCs w:val="24"/>
        </w:rPr>
        <w:t>, lo cual es coincidente con la presente investigación</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El hecho de que la </w:t>
      </w:r>
      <w:r>
        <w:rPr>
          <w:rFonts w:ascii="Arial" w:cs="Arial" w:hAnsi="Arial"/>
          <w:sz w:val="24"/>
          <w:szCs w:val="24"/>
        </w:rPr>
        <w:t>enfermedad</w:t>
      </w:r>
      <w:r>
        <w:rPr>
          <w:rFonts w:ascii="Arial" w:cs="Arial" w:hAnsi="Arial"/>
          <w:sz w:val="24"/>
          <w:szCs w:val="24"/>
        </w:rPr>
        <w:t xml:space="preserve"> renal crónica aumente el riesgo de morir podría deberse a alteraciones o deficiencias en la inmunidad humoral o celular, </w:t>
      </w:r>
      <w:r>
        <w:rPr>
          <w:rFonts w:ascii="Arial" w:cs="Arial" w:hAnsi="Arial"/>
          <w:sz w:val="24"/>
          <w:szCs w:val="24"/>
        </w:rPr>
        <w:t>deterioro de la reacción inflamatoria, aumento a la exposición a bacterias y virus patógenos, o todas las circunstancias a la vez</w:t>
      </w:r>
      <w:r>
        <w:rPr>
          <w:rFonts w:ascii="Arial" w:cs="Arial" w:hAnsi="Arial"/>
          <w:sz w:val="24"/>
          <w:szCs w:val="24"/>
          <w:vertAlign w:val="superscript"/>
        </w:rPr>
        <w:t>17</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El antecedente de </w:t>
      </w:r>
      <w:r>
        <w:rPr>
          <w:rFonts w:ascii="Arial" w:cs="Arial" w:hAnsi="Arial"/>
          <w:sz w:val="24"/>
          <w:szCs w:val="24"/>
        </w:rPr>
        <w:t>cardiopatía isquémica</w:t>
      </w:r>
      <w:r>
        <w:rPr>
          <w:rFonts w:ascii="Arial" w:cs="Arial" w:hAnsi="Arial"/>
          <w:sz w:val="24"/>
          <w:szCs w:val="24"/>
        </w:rPr>
        <w:t xml:space="preserve"> también incrementó el riesgo de morir por NAC en pacientes con EPOC, lo cual coincide con algunos autores</w:t>
      </w:r>
      <w:r>
        <w:rPr>
          <w:rFonts w:ascii="Arial" w:cs="Arial" w:hAnsi="Arial"/>
          <w:sz w:val="24"/>
          <w:szCs w:val="24"/>
          <w:vertAlign w:val="superscript"/>
        </w:rPr>
        <w:t>17,</w:t>
      </w:r>
      <w:r>
        <w:rPr>
          <w:rFonts w:ascii="Arial" w:cs="Arial" w:hAnsi="Arial"/>
          <w:sz w:val="24"/>
          <w:szCs w:val="24"/>
          <w:vertAlign w:val="superscript"/>
        </w:rPr>
        <w:t>51,52</w:t>
      </w:r>
      <w:r>
        <w:rPr>
          <w:rFonts w:ascii="Arial" w:cs="Arial" w:hAnsi="Arial"/>
          <w:sz w:val="24"/>
          <w:szCs w:val="24"/>
        </w:rPr>
        <w:t>.</w:t>
      </w:r>
    </w:p>
    <w:p>
      <w:pPr>
        <w:pStyle w:val="style0"/>
        <w:spacing w:after="0" w:lineRule="auto" w:line="360"/>
        <w:jc w:val="both"/>
        <w:rPr>
          <w:rFonts w:ascii="Arial" w:cs="Arial" w:hAnsi="Arial"/>
          <w:sz w:val="24"/>
          <w:szCs w:val="24"/>
          <w:vertAlign w:val="superscript"/>
        </w:rPr>
      </w:pPr>
      <w:r>
        <w:rPr>
          <w:rFonts w:ascii="Arial" w:cs="Arial" w:hAnsi="Arial"/>
          <w:sz w:val="24"/>
          <w:szCs w:val="24"/>
        </w:rPr>
        <w:t>Las</w:t>
      </w:r>
      <w:r>
        <w:rPr>
          <w:rFonts w:ascii="Arial" w:cs="Arial" w:hAnsi="Arial"/>
          <w:sz w:val="24"/>
          <w:szCs w:val="24"/>
        </w:rPr>
        <w:t xml:space="preserve"> enfermedades </w:t>
      </w:r>
      <w:r>
        <w:rPr>
          <w:rFonts w:ascii="Arial" w:cs="Arial" w:hAnsi="Arial"/>
          <w:sz w:val="24"/>
          <w:szCs w:val="24"/>
        </w:rPr>
        <w:t xml:space="preserve">cardiovasculares </w:t>
      </w:r>
      <w:r>
        <w:rPr>
          <w:rFonts w:ascii="Arial" w:cs="Arial" w:hAnsi="Arial"/>
          <w:sz w:val="24"/>
          <w:szCs w:val="24"/>
        </w:rPr>
        <w:t xml:space="preserve">en general y la cardiopatía isquémica en particular ocupa un lugar cimero en las causas de muerte en pacientes con EPOC, de hecho al coincidir en un paciente estas enfermedades con la EPOC, </w:t>
      </w:r>
      <w:r>
        <w:rPr>
          <w:rFonts w:ascii="Arial" w:cs="Arial" w:hAnsi="Arial"/>
          <w:sz w:val="24"/>
          <w:szCs w:val="24"/>
        </w:rPr>
        <w:t>se estima que los pacientes con EPOC tienen un riesgo ajustado entre 2</w:t>
      </w:r>
      <w:r>
        <w:rPr>
          <w:rFonts w:ascii="Arial" w:cs="Arial" w:hAnsi="Arial"/>
          <w:sz w:val="24"/>
          <w:szCs w:val="24"/>
        </w:rPr>
        <w:t xml:space="preserve"> </w:t>
      </w:r>
      <w:r>
        <w:rPr>
          <w:rFonts w:ascii="Arial" w:cs="Arial" w:hAnsi="Arial"/>
          <w:sz w:val="24"/>
          <w:szCs w:val="24"/>
        </w:rPr>
        <w:t xml:space="preserve">y 5 </w:t>
      </w:r>
      <w:r>
        <w:rPr>
          <w:rFonts w:ascii="Arial" w:cs="Arial" w:hAnsi="Arial"/>
          <w:sz w:val="24"/>
          <w:szCs w:val="24"/>
        </w:rPr>
        <w:t xml:space="preserve">veces superior de </w:t>
      </w:r>
      <w:r>
        <w:rPr>
          <w:rFonts w:ascii="Arial" w:cs="Arial" w:hAnsi="Arial"/>
          <w:sz w:val="24"/>
          <w:szCs w:val="24"/>
        </w:rPr>
        <w:t>muerte en comparación con los pacientes sin EPOC</w:t>
      </w:r>
      <w:r>
        <w:rPr>
          <w:rFonts w:ascii="Arial" w:cs="Arial" w:hAnsi="Arial"/>
          <w:sz w:val="24"/>
          <w:szCs w:val="24"/>
          <w:vertAlign w:val="superscript"/>
        </w:rPr>
        <w:t>51,52</w:t>
      </w:r>
    </w:p>
    <w:p>
      <w:pPr>
        <w:pStyle w:val="style0"/>
        <w:spacing w:after="0" w:lineRule="auto" w:line="360"/>
        <w:jc w:val="both"/>
        <w:rPr>
          <w:rFonts w:ascii="Arial" w:cs="Arial" w:hAnsi="Arial"/>
          <w:sz w:val="24"/>
          <w:szCs w:val="24"/>
        </w:rPr>
      </w:pPr>
      <w:r>
        <w:rPr>
          <w:rFonts w:ascii="Arial" w:cs="Arial" w:hAnsi="Arial"/>
          <w:sz w:val="24"/>
          <w:szCs w:val="24"/>
        </w:rPr>
        <w:t>Además, el riesgo de presentar un evento</w:t>
      </w:r>
      <w:r>
        <w:rPr>
          <w:rFonts w:ascii="Arial" w:cs="Arial" w:hAnsi="Arial"/>
          <w:sz w:val="24"/>
          <w:szCs w:val="24"/>
        </w:rPr>
        <w:t xml:space="preserve"> </w:t>
      </w:r>
      <w:r>
        <w:rPr>
          <w:rFonts w:ascii="Arial" w:cs="Arial" w:hAnsi="Arial"/>
          <w:sz w:val="24"/>
          <w:szCs w:val="24"/>
        </w:rPr>
        <w:t>isquémico aumenta en las semanas posteriores a una exacerbación de</w:t>
      </w:r>
      <w:r>
        <w:rPr>
          <w:rFonts w:ascii="Arial" w:cs="Arial" w:hAnsi="Arial"/>
          <w:sz w:val="24"/>
          <w:szCs w:val="24"/>
        </w:rPr>
        <w:t xml:space="preserve"> </w:t>
      </w:r>
      <w:r>
        <w:rPr>
          <w:rFonts w:ascii="Arial" w:cs="Arial" w:hAnsi="Arial"/>
          <w:sz w:val="24"/>
          <w:szCs w:val="24"/>
        </w:rPr>
        <w:t>la EPOC</w:t>
      </w:r>
      <w:r>
        <w:rPr>
          <w:rFonts w:ascii="Arial" w:cs="Arial" w:hAnsi="Arial"/>
          <w:sz w:val="24"/>
          <w:szCs w:val="24"/>
        </w:rPr>
        <w:t xml:space="preserve"> y NAC</w:t>
      </w:r>
      <w:r>
        <w:rPr>
          <w:rFonts w:ascii="Arial" w:cs="Arial" w:hAnsi="Arial"/>
          <w:sz w:val="24"/>
          <w:szCs w:val="24"/>
        </w:rPr>
        <w:t>, entre otras causas por un au</w:t>
      </w:r>
      <w:r>
        <w:rPr>
          <w:rFonts w:ascii="Arial" w:cs="Arial" w:hAnsi="Arial"/>
          <w:sz w:val="24"/>
          <w:szCs w:val="24"/>
        </w:rPr>
        <w:t>mento de los parámetros inflama</w:t>
      </w:r>
      <w:r>
        <w:rPr>
          <w:rFonts w:ascii="Arial" w:cs="Arial" w:hAnsi="Arial"/>
          <w:sz w:val="24"/>
          <w:szCs w:val="24"/>
        </w:rPr>
        <w:t>torios, de la rigidez arterial</w:t>
      </w:r>
      <w:r>
        <w:rPr>
          <w:rFonts w:ascii="Arial" w:cs="Arial" w:hAnsi="Arial"/>
          <w:sz w:val="24"/>
          <w:szCs w:val="24"/>
        </w:rPr>
        <w:t xml:space="preserve"> y de la agregación plaquetaria</w:t>
      </w:r>
      <w:r>
        <w:rPr>
          <w:rFonts w:ascii="Arial" w:cs="Arial" w:hAnsi="Arial"/>
          <w:sz w:val="24"/>
          <w:szCs w:val="24"/>
          <w:vertAlign w:val="superscript"/>
        </w:rPr>
        <w:t>51</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El aumento</w:t>
      </w:r>
      <w:r>
        <w:rPr>
          <w:rFonts w:ascii="Arial" w:cs="Arial" w:hAnsi="Arial"/>
          <w:sz w:val="24"/>
          <w:szCs w:val="24"/>
        </w:rPr>
        <w:t xml:space="preserve"> </w:t>
      </w:r>
      <w:r>
        <w:rPr>
          <w:rFonts w:ascii="Arial" w:cs="Arial" w:hAnsi="Arial"/>
          <w:sz w:val="24"/>
          <w:szCs w:val="24"/>
        </w:rPr>
        <w:t>de las concentraciones plasmáticas de marcadores de lesión miocárdica como la troponina T ultrasensible se asocia a un peor pronóstico en</w:t>
      </w:r>
      <w:r>
        <w:rPr>
          <w:rFonts w:ascii="Arial" w:cs="Arial" w:hAnsi="Arial"/>
          <w:sz w:val="24"/>
          <w:szCs w:val="24"/>
        </w:rPr>
        <w:t xml:space="preserve"> </w:t>
      </w:r>
      <w:r>
        <w:rPr>
          <w:rFonts w:ascii="Arial" w:cs="Arial" w:hAnsi="Arial"/>
          <w:sz w:val="24"/>
          <w:szCs w:val="24"/>
        </w:rPr>
        <w:t>pacientes con EPOC sin cardiopatía isquémica conocida, tanto durante</w:t>
      </w:r>
      <w:r>
        <w:rPr>
          <w:rFonts w:ascii="Arial" w:cs="Arial" w:hAnsi="Arial"/>
          <w:sz w:val="24"/>
          <w:szCs w:val="24"/>
        </w:rPr>
        <w:t xml:space="preserve"> </w:t>
      </w:r>
      <w:r>
        <w:rPr>
          <w:rFonts w:ascii="Arial" w:cs="Arial" w:hAnsi="Arial"/>
          <w:sz w:val="24"/>
          <w:szCs w:val="24"/>
        </w:rPr>
        <w:t>la exacerbación como en fase estable</w:t>
      </w:r>
      <w:r>
        <w:rPr>
          <w:rFonts w:ascii="Arial" w:cs="Arial" w:hAnsi="Arial"/>
          <w:sz w:val="24"/>
          <w:szCs w:val="24"/>
          <w:vertAlign w:val="superscript"/>
        </w:rPr>
        <w:t>51</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La prevalencia de </w:t>
      </w:r>
      <w:r>
        <w:rPr>
          <w:rFonts w:ascii="Arial" w:cs="Arial" w:hAnsi="Arial"/>
          <w:sz w:val="24"/>
          <w:szCs w:val="24"/>
        </w:rPr>
        <w:t>diabetes mellitus</w:t>
      </w:r>
      <w:r>
        <w:rPr>
          <w:rFonts w:ascii="Arial" w:cs="Arial" w:hAnsi="Arial"/>
          <w:sz w:val="24"/>
          <w:szCs w:val="24"/>
        </w:rPr>
        <w:t xml:space="preserve"> en pacientes con EPOC varía del 1,6 al 16,9%,</w:t>
      </w:r>
      <w:r>
        <w:rPr>
          <w:rFonts w:ascii="Arial" w:cs="Arial" w:hAnsi="Arial"/>
          <w:sz w:val="24"/>
          <w:szCs w:val="24"/>
        </w:rPr>
        <w:t xml:space="preserve"> según diferentes estudios</w:t>
      </w:r>
      <w:r>
        <w:rPr>
          <w:rFonts w:ascii="Arial" w:cs="Arial" w:hAnsi="Arial"/>
          <w:sz w:val="24"/>
          <w:szCs w:val="24"/>
        </w:rPr>
        <w:t>. Además, aproximadamente el 15% de</w:t>
      </w:r>
      <w:r>
        <w:rPr>
          <w:rFonts w:ascii="Arial" w:cs="Arial" w:hAnsi="Arial"/>
          <w:sz w:val="24"/>
          <w:szCs w:val="24"/>
        </w:rPr>
        <w:t xml:space="preserve"> </w:t>
      </w:r>
      <w:r>
        <w:rPr>
          <w:rFonts w:ascii="Arial" w:cs="Arial" w:hAnsi="Arial"/>
          <w:sz w:val="24"/>
          <w:szCs w:val="24"/>
        </w:rPr>
        <w:t>los pacientes ingresados en un hospital por una agudización de EPOC</w:t>
      </w:r>
      <w:r>
        <w:rPr>
          <w:rFonts w:ascii="Arial" w:cs="Arial" w:hAnsi="Arial"/>
          <w:sz w:val="24"/>
          <w:szCs w:val="24"/>
        </w:rPr>
        <w:t xml:space="preserve"> </w:t>
      </w:r>
      <w:r>
        <w:rPr>
          <w:rFonts w:ascii="Arial" w:cs="Arial" w:hAnsi="Arial"/>
          <w:sz w:val="24"/>
          <w:szCs w:val="24"/>
        </w:rPr>
        <w:t xml:space="preserve">presenta antecedentes de </w:t>
      </w:r>
      <w:r>
        <w:rPr>
          <w:rFonts w:ascii="Arial" w:cs="Arial" w:hAnsi="Arial"/>
          <w:sz w:val="24"/>
          <w:szCs w:val="24"/>
        </w:rPr>
        <w:t>diabetes mellitus</w:t>
      </w:r>
      <w:r>
        <w:rPr>
          <w:rFonts w:ascii="Arial" w:cs="Arial" w:hAnsi="Arial"/>
          <w:sz w:val="24"/>
          <w:szCs w:val="24"/>
          <w:vertAlign w:val="superscript"/>
        </w:rPr>
        <w:t>14,52-54</w:t>
      </w:r>
      <w:r>
        <w:rPr>
          <w:rFonts w:ascii="Arial" w:cs="Arial" w:hAnsi="Arial"/>
          <w:sz w:val="24"/>
          <w:szCs w:val="24"/>
        </w:rPr>
        <w:t>. Lo cual es coincidente con la presente investigación.</w:t>
      </w:r>
    </w:p>
    <w:p>
      <w:pPr>
        <w:pStyle w:val="style0"/>
        <w:spacing w:after="0" w:lineRule="auto" w:line="360"/>
        <w:jc w:val="both"/>
        <w:rPr>
          <w:rFonts w:ascii="Arial" w:cs="Arial" w:hAnsi="Arial"/>
          <w:sz w:val="24"/>
          <w:szCs w:val="24"/>
        </w:rPr>
      </w:pPr>
      <w:r>
        <w:rPr>
          <w:rFonts w:ascii="Arial" w:cs="Arial" w:hAnsi="Arial"/>
          <w:sz w:val="24"/>
          <w:szCs w:val="24"/>
        </w:rPr>
        <w:t xml:space="preserve">La presencia de </w:t>
      </w:r>
      <w:r>
        <w:rPr>
          <w:rFonts w:ascii="Arial" w:cs="Arial" w:hAnsi="Arial"/>
          <w:sz w:val="24"/>
          <w:szCs w:val="24"/>
        </w:rPr>
        <w:t>diabetes mellitus</w:t>
      </w:r>
      <w:r>
        <w:rPr>
          <w:rFonts w:ascii="Arial" w:cs="Arial" w:hAnsi="Arial"/>
          <w:sz w:val="24"/>
          <w:szCs w:val="24"/>
        </w:rPr>
        <w:t xml:space="preserve"> en pacientes con </w:t>
      </w:r>
      <w:r>
        <w:rPr>
          <w:rFonts w:ascii="Arial" w:cs="Arial" w:hAnsi="Arial"/>
          <w:sz w:val="24"/>
          <w:szCs w:val="24"/>
        </w:rPr>
        <w:t xml:space="preserve">NAC y </w:t>
      </w:r>
      <w:r>
        <w:rPr>
          <w:rFonts w:ascii="Arial" w:cs="Arial" w:hAnsi="Arial"/>
          <w:sz w:val="24"/>
          <w:szCs w:val="24"/>
        </w:rPr>
        <w:t>EPOC</w:t>
      </w:r>
      <w:r>
        <w:rPr>
          <w:rFonts w:ascii="Arial" w:cs="Arial" w:hAnsi="Arial"/>
          <w:sz w:val="24"/>
          <w:szCs w:val="24"/>
        </w:rPr>
        <w:t xml:space="preserve"> </w:t>
      </w:r>
      <w:r>
        <w:rPr>
          <w:rFonts w:ascii="Arial" w:cs="Arial" w:hAnsi="Arial"/>
          <w:sz w:val="24"/>
          <w:szCs w:val="24"/>
        </w:rPr>
        <w:t>podría indicar una gravedad mayor y una evolución más desfavora</w:t>
      </w:r>
      <w:r>
        <w:rPr>
          <w:rFonts w:ascii="Arial" w:cs="Arial" w:hAnsi="Arial"/>
          <w:sz w:val="24"/>
          <w:szCs w:val="24"/>
        </w:rPr>
        <w:t xml:space="preserve">ble </w:t>
      </w:r>
      <w:r>
        <w:rPr>
          <w:rFonts w:ascii="Arial" w:cs="Arial" w:hAnsi="Arial"/>
          <w:sz w:val="24"/>
          <w:szCs w:val="24"/>
        </w:rPr>
        <w:t xml:space="preserve">de la enfermedad pulmonar, a lo </w:t>
      </w:r>
      <w:r>
        <w:rPr>
          <w:rFonts w:ascii="Arial" w:cs="Arial" w:hAnsi="Arial"/>
          <w:sz w:val="24"/>
          <w:szCs w:val="24"/>
        </w:rPr>
        <w:t>que parece contribuir la altera</w:t>
      </w:r>
      <w:r>
        <w:rPr>
          <w:rFonts w:ascii="Arial" w:cs="Arial" w:hAnsi="Arial"/>
          <w:sz w:val="24"/>
          <w:szCs w:val="24"/>
        </w:rPr>
        <w:t xml:space="preserve">ción de la función pulmonar asociada a la </w:t>
      </w:r>
      <w:r>
        <w:rPr>
          <w:rFonts w:ascii="Arial" w:cs="Arial" w:hAnsi="Arial"/>
          <w:sz w:val="24"/>
          <w:szCs w:val="24"/>
        </w:rPr>
        <w:t>diabetes mellitus</w:t>
      </w:r>
      <w:r>
        <w:rPr>
          <w:rFonts w:ascii="Arial" w:cs="Arial" w:hAnsi="Arial"/>
          <w:sz w:val="24"/>
          <w:szCs w:val="24"/>
        </w:rPr>
        <w:t xml:space="preserve"> y la obesidad con frecuencia presente en pacientes diabéticos</w:t>
      </w:r>
      <w:r>
        <w:rPr>
          <w:rFonts w:ascii="Arial" w:cs="Arial" w:hAnsi="Arial"/>
          <w:sz w:val="24"/>
          <w:szCs w:val="24"/>
        </w:rPr>
        <w:t xml:space="preserve">. De hecho al coincidir estas dos entidades en un mismo sujeto, </w:t>
      </w:r>
      <w:r>
        <w:rPr>
          <w:rFonts w:ascii="Arial" w:cs="Arial" w:hAnsi="Arial"/>
          <w:sz w:val="24"/>
          <w:szCs w:val="24"/>
        </w:rPr>
        <w:t>la hipoxemia puede deberse, además de al</w:t>
      </w:r>
      <w:r>
        <w:rPr>
          <w:rFonts w:ascii="Arial" w:cs="Arial" w:hAnsi="Arial"/>
          <w:sz w:val="24"/>
          <w:szCs w:val="24"/>
        </w:rPr>
        <w:t xml:space="preserve"> </w:t>
      </w:r>
      <w:r>
        <w:rPr>
          <w:rFonts w:ascii="Arial" w:cs="Arial" w:hAnsi="Arial"/>
          <w:sz w:val="24"/>
          <w:szCs w:val="24"/>
        </w:rPr>
        <w:t>deterioro progresivo de la función pulmonar con descenso en el volumen espiratorio forzado en el primer segundo, a un descenso en la capacidad vital forzada. Este descenso puede ser consecuencia de varios factores: aumento del estí</w:t>
      </w:r>
      <w:r>
        <w:rPr>
          <w:rFonts w:ascii="Arial" w:cs="Arial" w:hAnsi="Arial"/>
          <w:sz w:val="24"/>
          <w:szCs w:val="24"/>
        </w:rPr>
        <w:t>mulo proinfl</w:t>
      </w:r>
      <w:r>
        <w:rPr>
          <w:rFonts w:ascii="Arial" w:cs="Arial" w:hAnsi="Arial"/>
          <w:sz w:val="24"/>
          <w:szCs w:val="24"/>
        </w:rPr>
        <w:t>amatorio por la</w:t>
      </w:r>
      <w:r>
        <w:rPr>
          <w:rFonts w:ascii="Arial" w:cs="Arial" w:hAnsi="Arial"/>
          <w:sz w:val="24"/>
          <w:szCs w:val="24"/>
        </w:rPr>
        <w:t xml:space="preserve"> </w:t>
      </w:r>
      <w:r>
        <w:rPr>
          <w:rFonts w:ascii="Arial" w:cs="Arial" w:hAnsi="Arial"/>
          <w:sz w:val="24"/>
          <w:szCs w:val="24"/>
        </w:rPr>
        <w:t>hiperglucemia, esclerosis de las arterias bronquiales asociada a la</w:t>
      </w:r>
      <w:r>
        <w:rPr>
          <w:rFonts w:ascii="Arial" w:cs="Arial" w:hAnsi="Arial"/>
          <w:sz w:val="24"/>
          <w:szCs w:val="24"/>
        </w:rPr>
        <w:t xml:space="preserve"> </w:t>
      </w:r>
      <w:r>
        <w:rPr>
          <w:rFonts w:ascii="Arial" w:cs="Arial" w:hAnsi="Arial"/>
          <w:sz w:val="24"/>
          <w:szCs w:val="24"/>
        </w:rPr>
        <w:t>arte</w:t>
      </w:r>
      <w:r>
        <w:rPr>
          <w:rFonts w:ascii="Arial" w:cs="Arial" w:hAnsi="Arial"/>
          <w:sz w:val="24"/>
          <w:szCs w:val="24"/>
        </w:rPr>
        <w:t xml:space="preserve">riosclerosis generalizada por la diabetes </w:t>
      </w:r>
      <w:r>
        <w:rPr>
          <w:rFonts w:ascii="Arial" w:cs="Arial" w:hAnsi="Arial"/>
          <w:sz w:val="24"/>
          <w:szCs w:val="24"/>
        </w:rPr>
        <w:t xml:space="preserve">y elevación diafragmática debida al sobrepeso observado con frecuencia en individuos con DM </w:t>
      </w:r>
      <w:r>
        <w:rPr>
          <w:rFonts w:ascii="Arial" w:cs="Arial" w:hAnsi="Arial"/>
          <w:sz w:val="24"/>
          <w:szCs w:val="24"/>
          <w:vertAlign w:val="superscript"/>
        </w:rPr>
        <w:t>53-55</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Por otro lado el propio tratamiento de la EPOC agrava el control metabólico y favorece la aparición de descompensaciones y complicaciones en los pacientes diabéticos. Esto hace un círculo vicioso que favorece el peor pronóstico, y sería explicaciones a nuestros resultados</w:t>
      </w:r>
      <w:r>
        <w:rPr>
          <w:rFonts w:ascii="Arial" w:cs="Arial" w:hAnsi="Arial"/>
          <w:sz w:val="24"/>
          <w:szCs w:val="24"/>
          <w:vertAlign w:val="superscript"/>
        </w:rPr>
        <w:t>55</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Los individuos enfermos de EPOC presentan un riesgo hasta 4.5 veces superior de</w:t>
      </w:r>
      <w:r>
        <w:rPr>
          <w:rFonts w:ascii="Arial" w:cs="Arial" w:hAnsi="Arial"/>
          <w:sz w:val="24"/>
          <w:szCs w:val="24"/>
        </w:rPr>
        <w:t xml:space="preserve"> </w:t>
      </w:r>
      <w:r>
        <w:rPr>
          <w:rFonts w:ascii="Arial" w:cs="Arial" w:hAnsi="Arial"/>
          <w:sz w:val="24"/>
          <w:szCs w:val="24"/>
        </w:rPr>
        <w:t xml:space="preserve">desarrollar insuficiencia cardíaca respecto al de los controles sin esta enfermedad. </w:t>
      </w:r>
      <w:r>
        <w:rPr>
          <w:rFonts w:ascii="Arial" w:cs="Arial" w:hAnsi="Arial"/>
          <w:sz w:val="24"/>
          <w:szCs w:val="24"/>
        </w:rPr>
        <w:t>De hecho, l</w:t>
      </w:r>
      <w:r>
        <w:rPr>
          <w:rFonts w:ascii="Arial" w:cs="Arial" w:hAnsi="Arial"/>
          <w:sz w:val="24"/>
          <w:szCs w:val="24"/>
        </w:rPr>
        <w:t>a prevalencia de insuficiencia cardiaca sistólica o diastólica en los</w:t>
      </w:r>
      <w:r>
        <w:rPr>
          <w:rFonts w:ascii="Arial" w:cs="Arial" w:hAnsi="Arial"/>
          <w:sz w:val="24"/>
          <w:szCs w:val="24"/>
        </w:rPr>
        <w:t xml:space="preserve"> </w:t>
      </w:r>
      <w:r>
        <w:rPr>
          <w:rFonts w:ascii="Arial" w:cs="Arial" w:hAnsi="Arial"/>
          <w:sz w:val="24"/>
          <w:szCs w:val="24"/>
        </w:rPr>
        <w:t>pacientes con EPOC varía entre el 20% y el 70%</w:t>
      </w:r>
      <w:r>
        <w:rPr>
          <w:rFonts w:ascii="Arial" w:cs="Arial" w:hAnsi="Arial"/>
          <w:sz w:val="24"/>
          <w:szCs w:val="24"/>
          <w:vertAlign w:val="superscript"/>
        </w:rPr>
        <w:t>30</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Los pacientes con ambas patologías tienen menor</w:t>
      </w:r>
      <w:r>
        <w:rPr>
          <w:rFonts w:ascii="Arial" w:cs="Arial" w:hAnsi="Arial"/>
          <w:sz w:val="24"/>
          <w:szCs w:val="24"/>
        </w:rPr>
        <w:t xml:space="preserve"> </w:t>
      </w:r>
      <w:r>
        <w:rPr>
          <w:rFonts w:ascii="Arial" w:cs="Arial" w:hAnsi="Arial"/>
          <w:sz w:val="24"/>
          <w:szCs w:val="24"/>
        </w:rPr>
        <w:t>capacidad de esfuerzo y mayor mortalidad</w:t>
      </w:r>
      <w:r>
        <w:rPr>
          <w:rFonts w:ascii="Arial" w:cs="Arial" w:hAnsi="Arial"/>
          <w:sz w:val="24"/>
          <w:szCs w:val="24"/>
        </w:rPr>
        <w:t xml:space="preserve">, lo cual es aún peor si el paciente tiene una NAC. Como explicación se puede afirmar que la insuficiencia cardiaca </w:t>
      </w:r>
      <w:r>
        <w:rPr>
          <w:rFonts w:ascii="Arial" w:cs="Arial" w:hAnsi="Arial"/>
          <w:sz w:val="24"/>
          <w:szCs w:val="24"/>
        </w:rPr>
        <w:t>provoca hipertensión linfática del pulmón, un estado congestivo pasivo y una disminución de la inmigración de neutrófilos al sitio de la infección que favorece el crecimiento bacteriano a nivel pulmonar.</w:t>
      </w:r>
      <w:r>
        <w:rPr>
          <w:rFonts w:ascii="Arial" w:cs="Arial" w:hAnsi="Arial"/>
          <w:sz w:val="24"/>
          <w:szCs w:val="24"/>
          <w:vertAlign w:val="superscript"/>
        </w:rPr>
        <w:t xml:space="preserve"> </w:t>
      </w:r>
      <w:r>
        <w:rPr>
          <w:rFonts w:ascii="Arial" w:cs="Arial" w:hAnsi="Arial"/>
          <w:sz w:val="24"/>
          <w:szCs w:val="24"/>
        </w:rPr>
        <w:t>Por otro lado, la infección causa un aumento de la demanda de sangre corporal, además la fiebre y la taquicardia acompañante aumentan las necesidades metabólicas del organismo, lo que produce una sobre carga al miocardio que en ocasiones, el corazón no puede atender sobre todo si está insuficiente ocurriendo un ciclo vicioso que se traduce en un aumento de la mortalidad</w:t>
      </w:r>
      <w:r>
        <w:rPr>
          <w:rFonts w:ascii="Arial" w:cs="Arial" w:hAnsi="Arial"/>
          <w:sz w:val="24"/>
          <w:szCs w:val="24"/>
          <w:vertAlign w:val="superscript"/>
        </w:rPr>
        <w:t>14,30,33,54-5</w:t>
      </w:r>
      <w:r>
        <w:rPr>
          <w:rFonts w:ascii="Arial" w:cs="Arial" w:hAnsi="Arial"/>
          <w:sz w:val="24"/>
          <w:szCs w:val="24"/>
          <w:vertAlign w:val="superscript"/>
        </w:rPr>
        <w:t>8</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Como comorbilidad asociada, la anemia ha demostrado ser un marcador independiente de mortalidad en varias </w:t>
      </w:r>
      <w:r>
        <w:rPr>
          <w:rFonts w:ascii="Arial" w:cs="Arial" w:hAnsi="Arial"/>
          <w:sz w:val="24"/>
          <w:szCs w:val="24"/>
        </w:rPr>
        <w:t>enfermedades</w:t>
      </w:r>
      <w:r>
        <w:rPr>
          <w:rFonts w:ascii="Arial" w:cs="Arial" w:hAnsi="Arial"/>
          <w:sz w:val="24"/>
          <w:szCs w:val="24"/>
        </w:rPr>
        <w:t xml:space="preserve">, </w:t>
      </w:r>
      <w:r>
        <w:rPr>
          <w:rFonts w:ascii="Arial" w:cs="Arial" w:hAnsi="Arial"/>
          <w:sz w:val="24"/>
          <w:szCs w:val="24"/>
        </w:rPr>
        <w:t>y la EPOC no es la excepción.</w:t>
      </w:r>
      <w:r>
        <w:rPr>
          <w:rFonts w:ascii="Arial" w:cs="Arial" w:hAnsi="Arial"/>
          <w:sz w:val="24"/>
          <w:szCs w:val="24"/>
        </w:rPr>
        <w:t xml:space="preserve"> Diversos trabajos han señalado que el fenómeno de eritrocitosis secundaria ante la hipoxemia no es constante en la </w:t>
      </w:r>
      <w:r>
        <w:rPr>
          <w:rFonts w:ascii="Arial" w:cs="Arial" w:hAnsi="Arial"/>
          <w:sz w:val="24"/>
          <w:szCs w:val="24"/>
        </w:rPr>
        <w:t xml:space="preserve">EPOC </w:t>
      </w:r>
      <w:r>
        <w:rPr>
          <w:rFonts w:ascii="Arial" w:cs="Arial" w:hAnsi="Arial"/>
          <w:sz w:val="24"/>
          <w:szCs w:val="24"/>
        </w:rPr>
        <w:t>y que la presencia de anemia es un hecho frecuente</w:t>
      </w:r>
      <w:r>
        <w:rPr>
          <w:rFonts w:ascii="Arial" w:cs="Arial" w:hAnsi="Arial"/>
          <w:sz w:val="24"/>
          <w:szCs w:val="24"/>
          <w:vertAlign w:val="superscript"/>
        </w:rPr>
        <w:t>59,60</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En varios estudios, se ha informado una prevalencia de anemia en enfermedad pulmonar obstructiva crónica entre 4,8% y 38%</w:t>
      </w:r>
      <w:r>
        <w:rPr>
          <w:rFonts w:ascii="Arial" w:cs="Arial" w:hAnsi="Arial"/>
          <w:sz w:val="24"/>
          <w:szCs w:val="24"/>
          <w:vertAlign w:val="superscript"/>
        </w:rPr>
        <w:t>60-62</w:t>
      </w:r>
      <w:r>
        <w:rPr>
          <w:rFonts w:ascii="Arial" w:cs="Arial" w:hAnsi="Arial"/>
          <w:sz w:val="24"/>
          <w:szCs w:val="24"/>
        </w:rPr>
        <w:t xml:space="preserve">. </w:t>
      </w:r>
      <w:r>
        <w:rPr>
          <w:rStyle w:val="style4102"/>
          <w:rFonts w:ascii="Arial" w:cs="Arial" w:hAnsi="Arial"/>
          <w:sz w:val="24"/>
          <w:szCs w:val="24"/>
        </w:rPr>
        <w:t>Miranda Machado</w:t>
      </w:r>
      <w:r>
        <w:rPr>
          <w:rStyle w:val="style4102"/>
          <w:rFonts w:ascii="Arial" w:cs="Arial" w:hAnsi="Arial"/>
          <w:sz w:val="24"/>
          <w:szCs w:val="24"/>
        </w:rPr>
        <w:t xml:space="preserve"> y colaboradores</w:t>
      </w:r>
      <w:r>
        <w:rPr>
          <w:rStyle w:val="style4102"/>
          <w:rFonts w:ascii="Arial" w:cs="Arial" w:hAnsi="Arial"/>
          <w:sz w:val="24"/>
          <w:szCs w:val="24"/>
          <w:vertAlign w:val="superscript"/>
        </w:rPr>
        <w:t>60</w:t>
      </w:r>
      <w:r>
        <w:rPr>
          <w:rStyle w:val="style4102"/>
          <w:rFonts w:ascii="Arial" w:cs="Arial" w:hAnsi="Arial"/>
          <w:sz w:val="24"/>
          <w:szCs w:val="24"/>
        </w:rPr>
        <w:t xml:space="preserve"> encontraron</w:t>
      </w:r>
      <w:r>
        <w:rPr>
          <w:rFonts w:ascii="Arial" w:cs="Arial" w:hAnsi="Arial"/>
          <w:sz w:val="24"/>
          <w:szCs w:val="24"/>
        </w:rPr>
        <w:t xml:space="preserve"> una </w:t>
      </w:r>
      <w:r>
        <w:rPr>
          <w:rFonts w:ascii="Arial" w:cs="Arial" w:hAnsi="Arial"/>
          <w:sz w:val="24"/>
          <w:szCs w:val="24"/>
        </w:rPr>
        <w:t xml:space="preserve">prevalencia de anemia de 43,9%. </w:t>
      </w:r>
    </w:p>
    <w:p>
      <w:pPr>
        <w:pStyle w:val="style0"/>
        <w:spacing w:after="0" w:lineRule="auto" w:line="360"/>
        <w:jc w:val="both"/>
        <w:rPr>
          <w:rFonts w:ascii="Arial" w:cs="Arial" w:hAnsi="Arial"/>
          <w:sz w:val="24"/>
          <w:szCs w:val="24"/>
        </w:rPr>
      </w:pPr>
      <w:r>
        <w:rPr>
          <w:rFonts w:ascii="Arial" w:cs="Arial" w:hAnsi="Arial"/>
          <w:sz w:val="24"/>
          <w:szCs w:val="24"/>
        </w:rPr>
        <w:t>Un estudio cita que el riesgo de mortalidad para los pacientes con anemia fue de 5,9 (intervalo de confianza 95%: 1,9 a 19); para los pacientes con menos de una exacerbación en el año anterior fue de 5,9 (intervalo de confianza 95%: 1,3 a 26,5)</w:t>
      </w:r>
      <w:r>
        <w:rPr>
          <w:rFonts w:ascii="Arial" w:cs="Arial" w:hAnsi="Arial"/>
          <w:sz w:val="24"/>
          <w:szCs w:val="24"/>
          <w:vertAlign w:val="superscript"/>
        </w:rPr>
        <w:t>61</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Lo antes expuesto es coincidente con la presente investigación. </w:t>
      </w:r>
    </w:p>
    <w:p>
      <w:pPr>
        <w:pStyle w:val="style0"/>
        <w:spacing w:after="0" w:lineRule="auto" w:line="360"/>
        <w:jc w:val="both"/>
        <w:rPr>
          <w:rFonts w:ascii="Arial" w:cs="Arial" w:hAnsi="Arial"/>
          <w:sz w:val="24"/>
          <w:szCs w:val="24"/>
        </w:rPr>
      </w:pPr>
      <w:r>
        <w:rPr>
          <w:rFonts w:ascii="Arial" w:cs="Arial" w:hAnsi="Arial"/>
          <w:sz w:val="24"/>
          <w:szCs w:val="24"/>
        </w:rPr>
        <w:t xml:space="preserve">Cuando existe anemia se producen varios efectos, algunos debidos a la hipoxia en sí. El descenso de las cifras de hematíes puede ocasionar insuficiente  aporte de oxígeno a los tejidos lo cual será agravado por la ya existente hipoxia que </w:t>
      </w:r>
      <w:r>
        <w:rPr>
          <w:rFonts w:ascii="Arial" w:cs="Arial" w:hAnsi="Arial"/>
          <w:sz w:val="24"/>
          <w:szCs w:val="24"/>
        </w:rPr>
        <w:t xml:space="preserve">acompaña a muchos pacientes con </w:t>
      </w:r>
      <w:r>
        <w:rPr>
          <w:rFonts w:ascii="Arial" w:cs="Arial" w:hAnsi="Arial"/>
          <w:sz w:val="24"/>
          <w:szCs w:val="24"/>
        </w:rPr>
        <w:t>NAC en pacientes con EPOC</w:t>
      </w:r>
      <w:r>
        <w:rPr>
          <w:rFonts w:ascii="Arial" w:cs="Arial" w:hAnsi="Arial"/>
          <w:sz w:val="24"/>
          <w:szCs w:val="24"/>
        </w:rPr>
        <w:t xml:space="preserve">, limitándose la disponibilidad de tan preciado gas a nivel tisular, alterándose los mecanismos de la respiración celular. Además se conoce que la inmunidad celular está  comprometida, todo lo cual traduce mayor gravedad y </w:t>
      </w:r>
      <w:r>
        <w:rPr>
          <w:rFonts w:ascii="Arial" w:cs="Arial" w:hAnsi="Arial"/>
          <w:sz w:val="24"/>
          <w:szCs w:val="24"/>
        </w:rPr>
        <w:t>muerte</w:t>
      </w:r>
      <w:r>
        <w:rPr>
          <w:rFonts w:ascii="Arial" w:cs="Arial" w:hAnsi="Arial"/>
          <w:sz w:val="24"/>
          <w:szCs w:val="24"/>
          <w:vertAlign w:val="superscript"/>
        </w:rPr>
        <w:t>60-63</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El antecedente de HTA aunque fue frecuente en la población investigada, no se asoció a mayor riesgo de muerte, lo cual coincide con otros investigadores</w:t>
      </w:r>
      <w:r>
        <w:rPr>
          <w:rFonts w:ascii="Arial" w:cs="Arial" w:hAnsi="Arial"/>
          <w:sz w:val="24"/>
          <w:szCs w:val="24"/>
          <w:vertAlign w:val="superscript"/>
        </w:rPr>
        <w:t>29,30</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La HTA es la comorbilidad más frecuente en los pacientes con</w:t>
      </w:r>
      <w:r>
        <w:rPr>
          <w:rFonts w:ascii="Arial" w:cs="Arial" w:hAnsi="Arial"/>
          <w:sz w:val="24"/>
          <w:szCs w:val="24"/>
        </w:rPr>
        <w:t xml:space="preserve"> </w:t>
      </w:r>
      <w:r>
        <w:rPr>
          <w:rFonts w:ascii="Arial" w:cs="Arial" w:hAnsi="Arial"/>
          <w:sz w:val="24"/>
          <w:szCs w:val="24"/>
        </w:rPr>
        <w:t>EPOC, y la coincidencia de ambas enfermedades puede afectar al 2,5%</w:t>
      </w:r>
      <w:r>
        <w:rPr>
          <w:rFonts w:ascii="Arial" w:cs="Arial" w:hAnsi="Arial"/>
          <w:sz w:val="24"/>
          <w:szCs w:val="24"/>
        </w:rPr>
        <w:t xml:space="preserve"> </w:t>
      </w:r>
      <w:r>
        <w:rPr>
          <w:rFonts w:ascii="Arial" w:cs="Arial" w:hAnsi="Arial"/>
          <w:sz w:val="24"/>
          <w:szCs w:val="24"/>
        </w:rPr>
        <w:t>de la población adulta</w:t>
      </w:r>
      <w:r>
        <w:rPr>
          <w:rFonts w:ascii="Arial" w:cs="Arial" w:hAnsi="Arial"/>
          <w:sz w:val="24"/>
          <w:szCs w:val="24"/>
        </w:rPr>
        <w:t>. Los pacientes con HTA y EPOC tienen un</w:t>
      </w:r>
      <w:r>
        <w:rPr>
          <w:rFonts w:ascii="Arial" w:cs="Arial" w:hAnsi="Arial"/>
          <w:sz w:val="24"/>
          <w:szCs w:val="24"/>
        </w:rPr>
        <w:t xml:space="preserve"> </w:t>
      </w:r>
      <w:r>
        <w:rPr>
          <w:rFonts w:ascii="Arial" w:cs="Arial" w:hAnsi="Arial"/>
          <w:sz w:val="24"/>
          <w:szCs w:val="24"/>
        </w:rPr>
        <w:t>riesgo CV particularmente elevado</w:t>
      </w:r>
      <w:r>
        <w:rPr>
          <w:rFonts w:ascii="Arial" w:cs="Arial" w:hAnsi="Arial"/>
          <w:sz w:val="24"/>
          <w:szCs w:val="24"/>
          <w:vertAlign w:val="superscript"/>
        </w:rPr>
        <w:t>58</w:t>
      </w:r>
      <w:r>
        <w:rPr>
          <w:rFonts w:ascii="Arial" w:cs="Arial" w:hAnsi="Arial"/>
          <w:sz w:val="24"/>
          <w:szCs w:val="24"/>
          <w:vertAlign w:val="superscript"/>
        </w:rPr>
        <w:t>, 64</w:t>
      </w:r>
      <w:r>
        <w:rPr>
          <w:rFonts w:ascii="Arial" w:cs="Arial" w:hAnsi="Arial"/>
          <w:sz w:val="24"/>
          <w:szCs w:val="24"/>
        </w:rPr>
        <w:t>.</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Sin embargo, no incrementa el riesgo de morir, probablemente su influencia esté  limitado por el efecto de otras enfermedades cardiovasculares que son de hecho consecuencia de la HTA (cardiopatía isquémica, arritmias ventriculares, cardiopatía hipertensiva</w:t>
      </w:r>
      <w:r>
        <w:rPr>
          <w:rFonts w:ascii="Arial" w:cs="Arial" w:hAnsi="Arial"/>
          <w:sz w:val="24"/>
          <w:szCs w:val="24"/>
        </w:rPr>
        <w:t>)</w:t>
      </w:r>
      <w:r>
        <w:rPr>
          <w:rFonts w:ascii="Arial" w:cs="Arial" w:hAnsi="Arial"/>
          <w:sz w:val="24"/>
          <w:szCs w:val="24"/>
          <w:vertAlign w:val="superscript"/>
        </w:rPr>
        <w:t xml:space="preserve"> 63</w:t>
      </w:r>
      <w:r>
        <w:rPr>
          <w:rFonts w:ascii="Arial" w:cs="Arial" w:hAnsi="Arial"/>
          <w:sz w:val="24"/>
          <w:szCs w:val="24"/>
          <w:vertAlign w:val="superscript"/>
        </w:rPr>
        <w:t>-65</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La NAC multilobar </w:t>
      </w:r>
      <w:r>
        <w:rPr>
          <w:rFonts w:ascii="Arial" w:cs="Arial" w:hAnsi="Arial"/>
          <w:sz w:val="24"/>
          <w:szCs w:val="24"/>
        </w:rPr>
        <w:t xml:space="preserve">en el paciente con EPOC </w:t>
      </w:r>
      <w:r>
        <w:rPr>
          <w:rFonts w:ascii="Arial" w:cs="Arial" w:hAnsi="Arial"/>
          <w:sz w:val="24"/>
          <w:szCs w:val="24"/>
        </w:rPr>
        <w:t xml:space="preserve">también fue un factor </w:t>
      </w:r>
      <w:r>
        <w:rPr>
          <w:rFonts w:ascii="Arial" w:cs="Arial" w:hAnsi="Arial"/>
          <w:sz w:val="24"/>
          <w:szCs w:val="24"/>
        </w:rPr>
        <w:t>pronóstico de muerte</w:t>
      </w:r>
      <w:r>
        <w:rPr>
          <w:rFonts w:ascii="Arial" w:cs="Arial" w:hAnsi="Arial"/>
          <w:sz w:val="24"/>
          <w:szCs w:val="24"/>
        </w:rPr>
        <w:t xml:space="preserve"> en nuestra serie, coincidiendo con algunos autores</w:t>
      </w:r>
      <w:r>
        <w:rPr>
          <w:rFonts w:ascii="Arial" w:cs="Arial" w:hAnsi="Arial"/>
          <w:sz w:val="24"/>
          <w:szCs w:val="24"/>
          <w:vertAlign w:val="superscript"/>
        </w:rPr>
        <w:t>3</w:t>
      </w:r>
      <w:r>
        <w:rPr>
          <w:rFonts w:ascii="Arial" w:cs="Arial" w:hAnsi="Arial"/>
          <w:sz w:val="24"/>
          <w:szCs w:val="24"/>
          <w:vertAlign w:val="superscript"/>
        </w:rPr>
        <w:t>1-33,3</w:t>
      </w:r>
      <w:r>
        <w:rPr>
          <w:rFonts w:ascii="Arial" w:cs="Arial" w:hAnsi="Arial"/>
          <w:sz w:val="24"/>
          <w:szCs w:val="24"/>
          <w:vertAlign w:val="superscript"/>
        </w:rPr>
        <w:t>7,</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El hecho de que un </w:t>
      </w:r>
      <w:r>
        <w:rPr>
          <w:rFonts w:ascii="Arial" w:cs="Arial" w:hAnsi="Arial"/>
          <w:sz w:val="24"/>
          <w:szCs w:val="24"/>
        </w:rPr>
        <w:t>paciente</w:t>
      </w:r>
      <w:r>
        <w:rPr>
          <w:rFonts w:ascii="Arial" w:cs="Arial" w:hAnsi="Arial"/>
          <w:sz w:val="24"/>
          <w:szCs w:val="24"/>
        </w:rPr>
        <w:t xml:space="preserve"> presente </w:t>
      </w:r>
      <w:r>
        <w:rPr>
          <w:rFonts w:ascii="Arial" w:cs="Arial" w:hAnsi="Arial"/>
          <w:sz w:val="24"/>
          <w:szCs w:val="24"/>
        </w:rPr>
        <w:t xml:space="preserve">más de un lóbulo pulmonar afectado por la infección, máxime con una EPOC de base, </w:t>
      </w:r>
      <w:r>
        <w:rPr>
          <w:rFonts w:ascii="Arial" w:cs="Arial" w:hAnsi="Arial"/>
          <w:sz w:val="24"/>
          <w:szCs w:val="24"/>
        </w:rPr>
        <w:t>incrementa de forma notable la gravedad y la posibilidad de morir, debido no solo a las alteraciones en el equilibro ácido-base e hipoxemia acompañante sino que además produce o agrava la tensión venosa y arterial pulmonar, sobre carga cardíaca y es más factible a la bacteriemia, con la consecuente siembra de bacterias en sitios ajenos al pulmón, añadiendo otros órganos infectados con su correspondiente alteración funcional, lo que sin duda contribuye a peor pronóstico</w:t>
      </w:r>
      <w:r>
        <w:rPr>
          <w:rFonts w:ascii="Arial" w:cs="Arial" w:hAnsi="Arial"/>
          <w:sz w:val="24"/>
          <w:szCs w:val="24"/>
          <w:vertAlign w:val="superscript"/>
        </w:rPr>
        <w:t>30-37</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Esto serían claras explicaciones a </w:t>
      </w:r>
      <w:r>
        <w:rPr>
          <w:rFonts w:ascii="Arial" w:cs="Arial" w:hAnsi="Arial"/>
          <w:sz w:val="24"/>
          <w:szCs w:val="24"/>
        </w:rPr>
        <w:t>los resultados de la presente serie</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La sepsis y el </w:t>
      </w:r>
      <w:r>
        <w:rPr>
          <w:rStyle w:val="style88"/>
          <w:rFonts w:ascii="Arial" w:cs="Arial" w:hAnsi="Arial"/>
          <w:i w:val="false"/>
          <w:sz w:val="24"/>
          <w:szCs w:val="24"/>
        </w:rPr>
        <w:t>choque</w:t>
      </w:r>
      <w:r>
        <w:rPr>
          <w:rFonts w:ascii="Arial" w:cs="Arial" w:hAnsi="Arial"/>
          <w:sz w:val="24"/>
          <w:szCs w:val="24"/>
        </w:rPr>
        <w:t xml:space="preserve"> séptico son el resultado de una respuesta inadecuada del huésped a una infección, lo que produce disfunción orgánica. La progresión de esta afección se manifiesta por la aparición de estadios clínicos sucesivos, derivados de la respuesta inflamatoria sistémica secundaria a la activación de diferentes mediadores inflamatorios que conducen a la disfunción orgánica. </w:t>
      </w:r>
      <w:r>
        <w:rPr>
          <w:rFonts w:ascii="Arial" w:cs="Arial" w:hAnsi="Arial"/>
          <w:sz w:val="24"/>
          <w:szCs w:val="24"/>
        </w:rPr>
        <w:t>Elementos que justifican los hallazgos en la presente investi</w:t>
      </w:r>
      <w:r>
        <w:rPr>
          <w:rFonts w:ascii="Arial" w:cs="Arial" w:hAnsi="Arial"/>
          <w:sz w:val="24"/>
          <w:szCs w:val="24"/>
        </w:rPr>
        <w:t>gación y lo cual es coincidente</w:t>
      </w:r>
      <w:r>
        <w:rPr>
          <w:rFonts w:ascii="Arial" w:cs="Arial" w:hAnsi="Arial"/>
          <w:sz w:val="24"/>
          <w:szCs w:val="24"/>
        </w:rPr>
        <w:t xml:space="preserve"> con otros investigadores al considerar al choque como un factor de mal pronóstico</w:t>
      </w:r>
      <w:r>
        <w:rPr>
          <w:rFonts w:ascii="Arial" w:cs="Arial" w:hAnsi="Arial"/>
          <w:sz w:val="24"/>
          <w:szCs w:val="24"/>
          <w:vertAlign w:val="superscript"/>
        </w:rPr>
        <w:t>68-71</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Asimismo, el</w:t>
      </w:r>
      <w:r>
        <w:rPr>
          <w:rFonts w:ascii="Arial" w:cs="Arial" w:hAnsi="Arial"/>
          <w:sz w:val="24"/>
          <w:szCs w:val="24"/>
        </w:rPr>
        <w:t xml:space="preserve"> deterioro en la perfusión tisular</w:t>
      </w:r>
      <w:r>
        <w:rPr>
          <w:rFonts w:ascii="Arial" w:cs="Arial" w:hAnsi="Arial"/>
          <w:sz w:val="24"/>
          <w:szCs w:val="24"/>
        </w:rPr>
        <w:t xml:space="preserve"> y</w:t>
      </w:r>
      <w:r>
        <w:rPr>
          <w:rFonts w:ascii="Arial" w:cs="Arial" w:hAnsi="Arial"/>
          <w:sz w:val="24"/>
          <w:szCs w:val="24"/>
        </w:rPr>
        <w:t xml:space="preserve"> una incapacidad</w:t>
      </w:r>
      <w:r>
        <w:rPr>
          <w:rFonts w:ascii="Arial" w:cs="Arial" w:hAnsi="Arial"/>
          <w:sz w:val="24"/>
          <w:szCs w:val="24"/>
        </w:rPr>
        <w:t xml:space="preserve"> </w:t>
      </w:r>
      <w:r>
        <w:rPr>
          <w:rFonts w:ascii="Arial" w:cs="Arial" w:hAnsi="Arial"/>
          <w:sz w:val="24"/>
          <w:szCs w:val="24"/>
        </w:rPr>
        <w:t>de las células para extraer y utilizar adecuadamente el oxígeno</w:t>
      </w:r>
      <w:r>
        <w:rPr>
          <w:rFonts w:ascii="Arial" w:cs="Arial" w:hAnsi="Arial"/>
          <w:sz w:val="24"/>
          <w:szCs w:val="24"/>
        </w:rPr>
        <w:t xml:space="preserve">, que en el paciente con NAC y EPOC es aún peor, hacen que el estado de choque incremente la mortalidad de forma exponencial. Además, las </w:t>
      </w:r>
      <w:r>
        <w:rPr>
          <w:rFonts w:ascii="Arial" w:cs="Arial" w:hAnsi="Arial"/>
          <w:sz w:val="24"/>
          <w:szCs w:val="24"/>
        </w:rPr>
        <w:t>alteraciones</w:t>
      </w:r>
      <w:r>
        <w:rPr>
          <w:rFonts w:ascii="Arial" w:cs="Arial" w:hAnsi="Arial"/>
          <w:sz w:val="24"/>
          <w:szCs w:val="24"/>
        </w:rPr>
        <w:t xml:space="preserve"> </w:t>
      </w:r>
      <w:r>
        <w:rPr>
          <w:rFonts w:ascii="Arial" w:cs="Arial" w:hAnsi="Arial"/>
          <w:sz w:val="24"/>
          <w:szCs w:val="24"/>
        </w:rPr>
        <w:t>pueden persistir aun después de corregir</w:t>
      </w:r>
      <w:r>
        <w:rPr>
          <w:rFonts w:ascii="Arial" w:cs="Arial" w:hAnsi="Arial"/>
          <w:sz w:val="24"/>
          <w:szCs w:val="24"/>
        </w:rPr>
        <w:t xml:space="preserve"> </w:t>
      </w:r>
      <w:r>
        <w:rPr>
          <w:rFonts w:ascii="Arial" w:cs="Arial" w:hAnsi="Arial"/>
          <w:sz w:val="24"/>
          <w:szCs w:val="24"/>
        </w:rPr>
        <w:t>las anormalidades hemodinámicas</w:t>
      </w:r>
      <w:r>
        <w:rPr>
          <w:rFonts w:ascii="Arial" w:cs="Arial" w:hAnsi="Arial"/>
          <w:sz w:val="24"/>
          <w:szCs w:val="24"/>
          <w:vertAlign w:val="superscript"/>
        </w:rPr>
        <w:t>73</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Existe una importante asociación entre la </w:t>
      </w:r>
      <w:r>
        <w:rPr>
          <w:rFonts w:ascii="Arial" w:cs="Arial" w:hAnsi="Arial"/>
          <w:sz w:val="24"/>
          <w:szCs w:val="24"/>
        </w:rPr>
        <w:t xml:space="preserve">hipoxemia </w:t>
      </w:r>
      <w:r>
        <w:rPr>
          <w:rFonts w:ascii="Arial" w:cs="Arial" w:hAnsi="Arial"/>
          <w:sz w:val="24"/>
          <w:szCs w:val="24"/>
        </w:rPr>
        <w:t xml:space="preserve">y </w:t>
      </w:r>
      <w:r>
        <w:rPr>
          <w:rFonts w:ascii="Arial" w:cs="Arial" w:hAnsi="Arial"/>
          <w:sz w:val="24"/>
          <w:szCs w:val="24"/>
        </w:rPr>
        <w:t xml:space="preserve">el mal pronóstico de los enfermos con NAC </w:t>
      </w:r>
      <w:r>
        <w:rPr>
          <w:rFonts w:ascii="Arial" w:cs="Arial" w:hAnsi="Arial"/>
          <w:sz w:val="24"/>
          <w:szCs w:val="24"/>
        </w:rPr>
        <w:t xml:space="preserve">lo cual es más elevada en el paciente con una EPOC de base, lo cual </w:t>
      </w:r>
      <w:r>
        <w:rPr>
          <w:rFonts w:ascii="Arial" w:cs="Arial" w:hAnsi="Arial"/>
          <w:sz w:val="24"/>
          <w:szCs w:val="24"/>
        </w:rPr>
        <w:t>pudiera estar relacionada esencialmente con los trastornos que ocasiona en el sistema nervioso central y el cardiovascular</w:t>
      </w:r>
      <w:r>
        <w:rPr>
          <w:rFonts w:ascii="Arial" w:cs="Arial" w:hAnsi="Arial"/>
          <w:sz w:val="24"/>
          <w:szCs w:val="24"/>
        </w:rPr>
        <w:t xml:space="preserve"> la deficiencia de oxígeno</w:t>
      </w:r>
      <w:r>
        <w:rPr>
          <w:rFonts w:ascii="Arial" w:cs="Arial" w:hAnsi="Arial"/>
          <w:sz w:val="24"/>
          <w:szCs w:val="24"/>
          <w:vertAlign w:val="superscript"/>
        </w:rPr>
        <w:t>14,28-30</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Entre los primeros se destacan la incoordinación motora, la somnolencia y la disminución de la capacidad intelectual, cuadro que recuerda en muchas ocasiones al del alcoholismo agudo; si la hipoxemia empeora, puede presentarse depresión de los centros respiratorios medulares con muerte súbita. A medida que se acentúa la reducción de la presión parcial de oxígeno, aparecen bradicardia, depresión miocárdica y, finalmente, </w:t>
      </w:r>
      <w:r>
        <w:rPr>
          <w:rFonts w:ascii="Arial" w:cs="Arial" w:hAnsi="Arial"/>
          <w:sz w:val="24"/>
          <w:szCs w:val="24"/>
        </w:rPr>
        <w:t xml:space="preserve">el choque </w:t>
      </w:r>
      <w:r>
        <w:rPr>
          <w:rFonts w:ascii="Arial" w:cs="Arial" w:hAnsi="Arial"/>
          <w:sz w:val="24"/>
          <w:szCs w:val="24"/>
        </w:rPr>
        <w:t>cardiocirculatorio</w:t>
      </w:r>
      <w:r>
        <w:rPr>
          <w:rFonts w:ascii="Arial" w:cs="Arial" w:hAnsi="Arial"/>
          <w:sz w:val="24"/>
          <w:szCs w:val="24"/>
          <w:vertAlign w:val="superscript"/>
        </w:rPr>
        <w:t>30-37,68</w:t>
      </w:r>
      <w:r>
        <w:rPr>
          <w:rFonts w:ascii="Arial" w:cs="Arial" w:hAnsi="Arial"/>
          <w:sz w:val="24"/>
          <w:szCs w:val="24"/>
        </w:rPr>
        <w:t>.</w:t>
      </w:r>
      <w:r>
        <w:rPr>
          <w:rFonts w:ascii="Arial" w:cs="Arial" w:hAnsi="Arial"/>
          <w:sz w:val="24"/>
          <w:szCs w:val="24"/>
        </w:rPr>
        <w:t xml:space="preserve"> </w:t>
      </w:r>
      <w:r>
        <w:rPr>
          <w:rFonts w:ascii="Arial" w:cs="Arial" w:hAnsi="Arial"/>
          <w:sz w:val="24"/>
          <w:szCs w:val="24"/>
        </w:rPr>
        <w:t>Estos hechos explicarían el porqué de la mala evolución de los pacientes hipoxémicos</w:t>
      </w:r>
      <w:r>
        <w:rPr>
          <w:rFonts w:ascii="Arial" w:cs="Arial" w:hAnsi="Arial"/>
          <w:sz w:val="24"/>
          <w:szCs w:val="24"/>
        </w:rPr>
        <w:t xml:space="preserve"> en la presente tesis</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El </w:t>
      </w:r>
      <w:r>
        <w:rPr>
          <w:rFonts w:ascii="Arial" w:cs="Arial" w:hAnsi="Arial"/>
          <w:sz w:val="24"/>
          <w:szCs w:val="24"/>
        </w:rPr>
        <w:t>deterioro del nivel de conciencia, se ha</w:t>
      </w:r>
      <w:r>
        <w:rPr>
          <w:rFonts w:ascii="Arial" w:cs="Arial" w:hAnsi="Arial"/>
          <w:sz w:val="24"/>
          <w:szCs w:val="24"/>
        </w:rPr>
        <w:t xml:space="preserve"> </w:t>
      </w:r>
      <w:r>
        <w:rPr>
          <w:rFonts w:ascii="Arial" w:cs="Arial" w:hAnsi="Arial"/>
          <w:sz w:val="24"/>
          <w:szCs w:val="24"/>
        </w:rPr>
        <w:t>relacionado</w:t>
      </w:r>
      <w:r>
        <w:rPr>
          <w:rFonts w:ascii="Arial" w:cs="Arial" w:hAnsi="Arial"/>
          <w:sz w:val="24"/>
          <w:szCs w:val="24"/>
        </w:rPr>
        <w:t xml:space="preserve"> </w:t>
      </w:r>
      <w:r>
        <w:rPr>
          <w:rFonts w:ascii="Arial" w:cs="Arial" w:hAnsi="Arial"/>
          <w:sz w:val="24"/>
          <w:szCs w:val="24"/>
        </w:rPr>
        <w:t>tradicionalmente como</w:t>
      </w:r>
      <w:r>
        <w:rPr>
          <w:rFonts w:ascii="Arial" w:cs="Arial" w:hAnsi="Arial"/>
          <w:sz w:val="24"/>
          <w:szCs w:val="24"/>
        </w:rPr>
        <w:t xml:space="preserve"> uno de</w:t>
      </w:r>
      <w:r>
        <w:rPr>
          <w:rFonts w:ascii="Arial" w:cs="Arial" w:hAnsi="Arial"/>
          <w:sz w:val="24"/>
          <w:szCs w:val="24"/>
        </w:rPr>
        <w:t xml:space="preserve"> los </w:t>
      </w:r>
      <w:r>
        <w:rPr>
          <w:rFonts w:ascii="Arial" w:cs="Arial" w:hAnsi="Arial"/>
          <w:sz w:val="24"/>
          <w:szCs w:val="24"/>
        </w:rPr>
        <w:t>factores</w:t>
      </w:r>
      <w:r>
        <w:rPr>
          <w:rFonts w:ascii="Arial" w:cs="Arial" w:hAnsi="Arial"/>
          <w:sz w:val="24"/>
          <w:szCs w:val="24"/>
        </w:rPr>
        <w:t xml:space="preserve"> </w:t>
      </w:r>
      <w:r>
        <w:rPr>
          <w:rFonts w:ascii="Arial" w:cs="Arial" w:hAnsi="Arial"/>
          <w:sz w:val="24"/>
          <w:szCs w:val="24"/>
        </w:rPr>
        <w:t>de mal pronóstico en pacientes con EPOC durante el curso de una NAC</w:t>
      </w:r>
      <w:r>
        <w:rPr>
          <w:rFonts w:ascii="Arial" w:cs="Arial" w:hAnsi="Arial"/>
          <w:sz w:val="24"/>
          <w:szCs w:val="24"/>
        </w:rPr>
        <w:t xml:space="preserve">, tal como lo demuestran diversas investigaciones incluyendo la presente. </w:t>
      </w:r>
    </w:p>
    <w:p>
      <w:pPr>
        <w:pStyle w:val="style0"/>
        <w:spacing w:after="0" w:lineRule="auto" w:line="360"/>
        <w:jc w:val="both"/>
        <w:rPr>
          <w:rFonts w:ascii="Arial" w:cs="Arial" w:hAnsi="Arial"/>
          <w:sz w:val="24"/>
          <w:szCs w:val="24"/>
        </w:rPr>
      </w:pPr>
      <w:r>
        <w:rPr>
          <w:rFonts w:ascii="Arial" w:cs="Arial" w:hAnsi="Arial"/>
          <w:sz w:val="24"/>
          <w:szCs w:val="24"/>
        </w:rPr>
        <w:t xml:space="preserve">La </w:t>
      </w:r>
      <w:r>
        <w:rPr>
          <w:rFonts w:ascii="Arial" w:cs="Arial" w:hAnsi="Arial"/>
          <w:sz w:val="24"/>
          <w:szCs w:val="24"/>
        </w:rPr>
        <w:t xml:space="preserve">inmunosupresión inducida por </w:t>
      </w:r>
      <w:r>
        <w:rPr>
          <w:rFonts w:ascii="Arial" w:cs="Arial" w:hAnsi="Arial"/>
          <w:sz w:val="24"/>
          <w:szCs w:val="24"/>
        </w:rPr>
        <w:t>la toma de la conciencia puede explicarse porque  la existencia</w:t>
      </w:r>
      <w:r>
        <w:rPr>
          <w:rFonts w:ascii="Arial" w:cs="Arial" w:hAnsi="Arial"/>
          <w:sz w:val="24"/>
          <w:szCs w:val="24"/>
        </w:rPr>
        <w:t xml:space="preserve"> </w:t>
      </w:r>
      <w:r>
        <w:rPr>
          <w:rFonts w:ascii="Arial" w:cs="Arial" w:hAnsi="Arial"/>
          <w:sz w:val="24"/>
          <w:szCs w:val="24"/>
        </w:rPr>
        <w:t xml:space="preserve">de </w:t>
      </w:r>
      <w:r>
        <w:rPr>
          <w:rFonts w:ascii="Arial" w:cs="Arial" w:hAnsi="Arial"/>
          <w:sz w:val="24"/>
          <w:szCs w:val="24"/>
        </w:rPr>
        <w:t>un cambio rápido y duradero en el número y funciones</w:t>
      </w:r>
      <w:r>
        <w:rPr>
          <w:rFonts w:ascii="Arial" w:cs="Arial" w:hAnsi="Arial"/>
          <w:sz w:val="24"/>
          <w:szCs w:val="24"/>
        </w:rPr>
        <w:t xml:space="preserve"> </w:t>
      </w:r>
      <w:r>
        <w:rPr>
          <w:rFonts w:ascii="Arial" w:cs="Arial" w:hAnsi="Arial"/>
          <w:sz w:val="24"/>
          <w:szCs w:val="24"/>
        </w:rPr>
        <w:t>de los linfocitos circulantes y las células mononucleares tanto en modelos</w:t>
      </w:r>
      <w:r>
        <w:rPr>
          <w:rFonts w:ascii="Arial" w:cs="Arial" w:hAnsi="Arial"/>
          <w:sz w:val="24"/>
          <w:szCs w:val="24"/>
        </w:rPr>
        <w:t xml:space="preserve"> </w:t>
      </w:r>
      <w:r>
        <w:rPr>
          <w:rFonts w:ascii="Arial" w:cs="Arial" w:hAnsi="Arial"/>
          <w:sz w:val="24"/>
          <w:szCs w:val="24"/>
        </w:rPr>
        <w:t>animales</w:t>
      </w:r>
      <w:r>
        <w:rPr>
          <w:rFonts w:ascii="Arial" w:cs="Arial" w:hAnsi="Arial"/>
          <w:sz w:val="24"/>
          <w:szCs w:val="24"/>
        </w:rPr>
        <w:t xml:space="preserve"> </w:t>
      </w:r>
      <w:r>
        <w:rPr>
          <w:rFonts w:ascii="Arial" w:cs="Arial" w:hAnsi="Arial"/>
          <w:sz w:val="24"/>
          <w:szCs w:val="24"/>
        </w:rPr>
        <w:t xml:space="preserve">como en pacientes con </w:t>
      </w:r>
      <w:r>
        <w:rPr>
          <w:rFonts w:ascii="Arial" w:cs="Arial" w:hAnsi="Arial"/>
          <w:sz w:val="24"/>
          <w:szCs w:val="24"/>
        </w:rPr>
        <w:t>deterioro del nivel de conciencia</w:t>
      </w:r>
      <w:r>
        <w:rPr>
          <w:rFonts w:ascii="Arial" w:cs="Arial" w:hAnsi="Arial"/>
          <w:sz w:val="24"/>
          <w:szCs w:val="24"/>
        </w:rPr>
        <w:t>. En particular, las frecuencias en los linfocitos</w:t>
      </w:r>
      <w:r>
        <w:rPr>
          <w:rFonts w:ascii="Arial" w:cs="Arial" w:hAnsi="Arial"/>
          <w:sz w:val="24"/>
          <w:szCs w:val="24"/>
        </w:rPr>
        <w:t xml:space="preserve"> </w:t>
      </w:r>
      <w:r>
        <w:rPr>
          <w:rFonts w:ascii="Arial" w:cs="Arial" w:hAnsi="Arial"/>
          <w:sz w:val="24"/>
          <w:szCs w:val="24"/>
        </w:rPr>
        <w:t xml:space="preserve">T y B disminuyen significativamente </w:t>
      </w:r>
      <w:r>
        <w:rPr>
          <w:rFonts w:ascii="Arial" w:cs="Arial" w:hAnsi="Arial"/>
          <w:sz w:val="24"/>
          <w:szCs w:val="24"/>
        </w:rPr>
        <w:t>en estos pacientes</w:t>
      </w:r>
      <w:r>
        <w:rPr>
          <w:rFonts w:ascii="Arial" w:cs="Arial" w:hAnsi="Arial"/>
          <w:sz w:val="24"/>
          <w:szCs w:val="24"/>
          <w:vertAlign w:val="superscript"/>
        </w:rPr>
        <w:t>72-74</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De hecho, existe </w:t>
      </w:r>
      <w:r>
        <w:rPr>
          <w:rFonts w:ascii="Arial" w:cs="Arial" w:hAnsi="Arial"/>
          <w:sz w:val="24"/>
          <w:szCs w:val="24"/>
        </w:rPr>
        <w:t>linfopenia, disminución de los niveles de citocinas inflamatorias,</w:t>
      </w:r>
      <w:r>
        <w:rPr>
          <w:rFonts w:ascii="Arial" w:cs="Arial" w:hAnsi="Arial"/>
          <w:sz w:val="24"/>
          <w:szCs w:val="24"/>
        </w:rPr>
        <w:t xml:space="preserve"> </w:t>
      </w:r>
      <w:r>
        <w:rPr>
          <w:rFonts w:ascii="Arial" w:cs="Arial" w:hAnsi="Arial"/>
          <w:sz w:val="24"/>
          <w:szCs w:val="24"/>
        </w:rPr>
        <w:t xml:space="preserve">disfunción de monocitos y linfocitos, </w:t>
      </w:r>
      <w:r>
        <w:rPr>
          <w:rFonts w:ascii="Arial" w:cs="Arial" w:hAnsi="Arial"/>
          <w:sz w:val="24"/>
          <w:szCs w:val="24"/>
        </w:rPr>
        <w:t xml:space="preserve">así como </w:t>
      </w:r>
      <w:r>
        <w:rPr>
          <w:rFonts w:ascii="Arial" w:cs="Arial" w:hAnsi="Arial"/>
          <w:sz w:val="24"/>
          <w:szCs w:val="24"/>
        </w:rPr>
        <w:t>atrofia de órganos linfocitarios</w:t>
      </w:r>
      <w:r>
        <w:rPr>
          <w:rFonts w:ascii="Arial" w:cs="Arial" w:hAnsi="Arial"/>
          <w:sz w:val="24"/>
          <w:szCs w:val="24"/>
        </w:rPr>
        <w:t xml:space="preserve"> secundarios. Todo lo cual repercute en la respuesta del huésped ante la infección pulmonar, agravando la misma, mayor hipoxemia y a la vez mayo</w:t>
      </w:r>
      <w:r>
        <w:rPr>
          <w:rFonts w:ascii="Arial" w:cs="Arial" w:hAnsi="Arial"/>
          <w:sz w:val="24"/>
          <w:szCs w:val="24"/>
        </w:rPr>
        <w:t>r</w:t>
      </w:r>
      <w:r>
        <w:rPr>
          <w:rFonts w:ascii="Arial" w:cs="Arial" w:hAnsi="Arial"/>
          <w:sz w:val="24"/>
          <w:szCs w:val="24"/>
        </w:rPr>
        <w:t xml:space="preserve"> deterioro de la conciencia, lo cual se vuelve un ciclo vicioso que termina con la muerte del individuo</w:t>
      </w:r>
      <w:r>
        <w:rPr>
          <w:rFonts w:ascii="Arial" w:cs="Arial" w:hAnsi="Arial"/>
          <w:sz w:val="24"/>
          <w:szCs w:val="24"/>
          <w:vertAlign w:val="superscript"/>
        </w:rPr>
        <w:t>73,74</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Por otra parte, a diferencia de otras investigaciones</w:t>
      </w:r>
      <w:r>
        <w:rPr>
          <w:rFonts w:ascii="Arial" w:cs="Arial" w:hAnsi="Arial"/>
          <w:sz w:val="24"/>
          <w:szCs w:val="24"/>
          <w:vertAlign w:val="superscript"/>
        </w:rPr>
        <w:t>24-26,37</w:t>
      </w:r>
      <w:r>
        <w:rPr>
          <w:rFonts w:ascii="Arial" w:cs="Arial" w:hAnsi="Arial"/>
          <w:sz w:val="24"/>
          <w:szCs w:val="24"/>
        </w:rPr>
        <w:t>, la leucocitosis en esta serie no constituyó un factor de mal pronóstico</w:t>
      </w:r>
      <w:r>
        <w:rPr>
          <w:rFonts w:ascii="Arial" w:cs="Arial" w:hAnsi="Arial"/>
          <w:sz w:val="24"/>
          <w:szCs w:val="24"/>
        </w:rPr>
        <w:t>.</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Sin embargo, e</w:t>
      </w:r>
      <w:r>
        <w:rPr>
          <w:rFonts w:ascii="Arial" w:cs="Arial" w:hAnsi="Arial"/>
          <w:sz w:val="24"/>
          <w:szCs w:val="24"/>
        </w:rPr>
        <w:t xml:space="preserve">n un estudio </w:t>
      </w:r>
      <w:r>
        <w:rPr>
          <w:rFonts w:ascii="Arial" w:cs="Arial" w:hAnsi="Arial"/>
          <w:sz w:val="24"/>
          <w:szCs w:val="24"/>
        </w:rPr>
        <w:t xml:space="preserve">donde se tomó </w:t>
      </w:r>
      <w:r>
        <w:rPr>
          <w:rFonts w:ascii="Arial" w:cs="Arial" w:hAnsi="Arial"/>
          <w:sz w:val="24"/>
          <w:szCs w:val="24"/>
        </w:rPr>
        <w:t xml:space="preserve">muestra </w:t>
      </w:r>
      <w:r>
        <w:rPr>
          <w:rFonts w:ascii="Arial" w:cs="Arial" w:hAnsi="Arial"/>
          <w:sz w:val="24"/>
          <w:szCs w:val="24"/>
        </w:rPr>
        <w:t xml:space="preserve">de esputo </w:t>
      </w:r>
      <w:r>
        <w:rPr>
          <w:rFonts w:ascii="Arial" w:cs="Arial" w:hAnsi="Arial"/>
          <w:sz w:val="24"/>
          <w:szCs w:val="24"/>
        </w:rPr>
        <w:t>y su análisis se determinó la ausencia de relación entre</w:t>
      </w:r>
      <w:r>
        <w:rPr>
          <w:rFonts w:ascii="Arial" w:cs="Arial" w:hAnsi="Arial"/>
          <w:sz w:val="24"/>
          <w:szCs w:val="24"/>
        </w:rPr>
        <w:t xml:space="preserve"> </w:t>
      </w:r>
      <w:r>
        <w:rPr>
          <w:rFonts w:ascii="Arial" w:cs="Arial" w:hAnsi="Arial"/>
          <w:sz w:val="24"/>
          <w:szCs w:val="24"/>
        </w:rPr>
        <w:t>los valores de IL-6, IL-8 y TNF, medidos simultáneamente en el mismo paciente en suero y</w:t>
      </w:r>
      <w:r>
        <w:rPr>
          <w:rFonts w:ascii="Arial" w:cs="Arial" w:hAnsi="Arial"/>
          <w:sz w:val="24"/>
          <w:szCs w:val="24"/>
        </w:rPr>
        <w:t xml:space="preserve"> </w:t>
      </w:r>
      <w:r>
        <w:rPr>
          <w:rFonts w:ascii="Arial" w:cs="Arial" w:hAnsi="Arial"/>
          <w:sz w:val="24"/>
          <w:szCs w:val="24"/>
        </w:rPr>
        <w:t>esputo.</w:t>
      </w:r>
      <w:r>
        <w:rPr>
          <w:rFonts w:ascii="Arial" w:cs="Arial" w:hAnsi="Arial"/>
          <w:sz w:val="24"/>
          <w:szCs w:val="24"/>
        </w:rPr>
        <w:t xml:space="preserve"> </w:t>
      </w:r>
      <w:r>
        <w:rPr>
          <w:rFonts w:ascii="Arial" w:cs="Arial" w:hAnsi="Arial"/>
          <w:sz w:val="24"/>
          <w:szCs w:val="24"/>
        </w:rPr>
        <w:t>Por otra parte, se observó que los marcadores inflamatorios determinados en suero no</w:t>
      </w:r>
      <w:r>
        <w:rPr>
          <w:rFonts w:ascii="Arial" w:cs="Arial" w:hAnsi="Arial"/>
          <w:sz w:val="24"/>
          <w:szCs w:val="24"/>
        </w:rPr>
        <w:t xml:space="preserve"> </w:t>
      </w:r>
      <w:r>
        <w:rPr>
          <w:rFonts w:ascii="Arial" w:cs="Arial" w:hAnsi="Arial"/>
          <w:sz w:val="24"/>
          <w:szCs w:val="24"/>
        </w:rPr>
        <w:t>tenían relación con variables de la función pulmonar como, valores de FEV1, DLCO</w:t>
      </w:r>
      <w:r>
        <w:rPr>
          <w:rFonts w:ascii="Arial" w:cs="Arial" w:hAnsi="Arial"/>
          <w:sz w:val="24"/>
          <w:szCs w:val="24"/>
        </w:rPr>
        <w:t xml:space="preserve"> y</w:t>
      </w:r>
      <w:r>
        <w:rPr>
          <w:rFonts w:ascii="Arial" w:cs="Arial" w:hAnsi="Arial"/>
          <w:sz w:val="24"/>
          <w:szCs w:val="24"/>
        </w:rPr>
        <w:t xml:space="preserve"> PaO</w:t>
      </w:r>
      <w:r>
        <w:rPr>
          <w:rFonts w:ascii="Arial" w:cs="Arial" w:hAnsi="Arial"/>
          <w:sz w:val="24"/>
          <w:szCs w:val="24"/>
          <w:vertAlign w:val="subscript"/>
        </w:rPr>
        <w:t>2</w:t>
      </w:r>
      <w:r>
        <w:rPr>
          <w:rFonts w:ascii="Arial" w:cs="Arial" w:hAnsi="Arial"/>
          <w:sz w:val="24"/>
          <w:szCs w:val="24"/>
          <w:vertAlign w:val="superscript"/>
        </w:rPr>
        <w:t>30</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Por lo contrario </w:t>
      </w:r>
      <w:r>
        <w:rPr>
          <w:rFonts w:ascii="Arial" w:cs="Arial" w:hAnsi="Arial"/>
          <w:sz w:val="24"/>
          <w:szCs w:val="24"/>
        </w:rPr>
        <w:t xml:space="preserve">un menor número de leucocitos disminuye </w:t>
      </w:r>
      <w:r>
        <w:rPr>
          <w:rFonts w:ascii="Arial" w:cs="Arial" w:hAnsi="Arial"/>
          <w:sz w:val="24"/>
          <w:szCs w:val="24"/>
        </w:rPr>
        <w:t>la</w:t>
      </w:r>
      <w:r>
        <w:rPr>
          <w:rFonts w:ascii="Arial" w:cs="Arial" w:hAnsi="Arial"/>
          <w:sz w:val="24"/>
          <w:szCs w:val="24"/>
        </w:rPr>
        <w:t xml:space="preserve"> respuesta a la infección, la cual está a menudo relacionada con otras alteraciones de la defensa del huésped y de esta forma incrementar aún más </w:t>
      </w:r>
      <w:r>
        <w:rPr>
          <w:rFonts w:ascii="Arial" w:cs="Arial" w:hAnsi="Arial"/>
          <w:sz w:val="24"/>
          <w:szCs w:val="24"/>
        </w:rPr>
        <w:t xml:space="preserve">no solo </w:t>
      </w:r>
      <w:r>
        <w:rPr>
          <w:rFonts w:ascii="Arial" w:cs="Arial" w:hAnsi="Arial"/>
          <w:sz w:val="24"/>
          <w:szCs w:val="24"/>
        </w:rPr>
        <w:t>el riesgo de infección</w:t>
      </w:r>
      <w:r>
        <w:rPr>
          <w:rFonts w:ascii="Arial" w:cs="Arial" w:hAnsi="Arial"/>
          <w:sz w:val="24"/>
          <w:szCs w:val="24"/>
        </w:rPr>
        <w:t xml:space="preserve"> sino también de muerte, al </w:t>
      </w:r>
      <w:r>
        <w:rPr>
          <w:rFonts w:ascii="Arial" w:cs="Arial" w:hAnsi="Arial"/>
          <w:sz w:val="24"/>
          <w:szCs w:val="24"/>
        </w:rPr>
        <w:t>declina</w:t>
      </w:r>
      <w:r>
        <w:rPr>
          <w:rFonts w:ascii="Arial" w:cs="Arial" w:hAnsi="Arial"/>
          <w:sz w:val="24"/>
          <w:szCs w:val="24"/>
        </w:rPr>
        <w:t>r</w:t>
      </w:r>
      <w:r>
        <w:rPr>
          <w:rFonts w:ascii="Arial" w:cs="Arial" w:hAnsi="Arial"/>
          <w:sz w:val="24"/>
          <w:szCs w:val="24"/>
        </w:rPr>
        <w:t xml:space="preserve"> además</w:t>
      </w:r>
      <w:r>
        <w:rPr>
          <w:rFonts w:ascii="Arial" w:cs="Arial" w:hAnsi="Arial"/>
          <w:sz w:val="24"/>
          <w:szCs w:val="24"/>
        </w:rPr>
        <w:t>,</w:t>
      </w:r>
      <w:r>
        <w:rPr>
          <w:rFonts w:ascii="Arial" w:cs="Arial" w:hAnsi="Arial"/>
          <w:sz w:val="24"/>
          <w:szCs w:val="24"/>
        </w:rPr>
        <w:t xml:space="preserve"> quimiotaxis y ataque oxidativo, independientemente de la función de los macrófagos, además los niveles de inmunoglobulinas pueden no disminuir, pero se ha notado que la cantidad y calidad de respuesta contra ciertos patógenos específicos sí declina</w:t>
      </w:r>
      <w:r>
        <w:rPr>
          <w:rFonts w:ascii="Arial" w:cs="Arial" w:hAnsi="Arial"/>
          <w:sz w:val="24"/>
          <w:szCs w:val="24"/>
          <w:vertAlign w:val="superscript"/>
        </w:rPr>
        <w:t>30,75</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Coincidiendo con múltiples investigaciones, se identificó una serie de factores</w:t>
      </w:r>
      <w:r>
        <w:rPr>
          <w:rFonts w:ascii="Arial" w:cs="Arial" w:hAnsi="Arial"/>
          <w:sz w:val="24"/>
          <w:szCs w:val="24"/>
        </w:rPr>
        <w:t xml:space="preserve"> </w:t>
      </w:r>
      <w:r>
        <w:rPr>
          <w:rFonts w:ascii="Arial" w:cs="Arial" w:hAnsi="Arial"/>
          <w:sz w:val="24"/>
          <w:szCs w:val="24"/>
        </w:rPr>
        <w:t>pronósticos que incrementaron el riesgo de morir por NAC</w:t>
      </w:r>
      <w:r>
        <w:rPr>
          <w:rFonts w:ascii="Arial" w:cs="Arial" w:hAnsi="Arial"/>
          <w:sz w:val="24"/>
          <w:szCs w:val="24"/>
        </w:rPr>
        <w:t xml:space="preserve"> en pacientes con EPOC</w:t>
      </w:r>
      <w:r>
        <w:rPr>
          <w:rFonts w:ascii="Arial" w:cs="Arial" w:hAnsi="Arial"/>
          <w:sz w:val="24"/>
          <w:szCs w:val="24"/>
        </w:rPr>
        <w:t xml:space="preserve">, como </w:t>
      </w:r>
      <w:r>
        <w:rPr>
          <w:rFonts w:ascii="Arial" w:cs="Arial" w:hAnsi="Arial"/>
          <w:sz w:val="24"/>
          <w:szCs w:val="24"/>
        </w:rPr>
        <w:t xml:space="preserve">parte </w:t>
      </w:r>
      <w:r>
        <w:rPr>
          <w:rFonts w:ascii="Arial" w:cs="Arial" w:hAnsi="Arial"/>
          <w:sz w:val="24"/>
          <w:szCs w:val="24"/>
        </w:rPr>
        <w:t xml:space="preserve"> </w:t>
      </w:r>
      <w:r>
        <w:rPr>
          <w:rFonts w:ascii="Arial" w:cs="Arial" w:hAnsi="Arial"/>
          <w:sz w:val="24"/>
          <w:szCs w:val="24"/>
        </w:rPr>
        <w:t>d</w:t>
      </w:r>
      <w:r>
        <w:rPr>
          <w:rFonts w:ascii="Arial" w:cs="Arial" w:hAnsi="Arial"/>
          <w:sz w:val="24"/>
          <w:szCs w:val="24"/>
        </w:rPr>
        <w:t xml:space="preserve">el multivariado, donde sobresalen </w:t>
      </w:r>
      <w:r>
        <w:rPr>
          <w:rFonts w:ascii="Arial" w:cs="Arial" w:hAnsi="Arial"/>
          <w:sz w:val="24"/>
          <w:szCs w:val="24"/>
        </w:rPr>
        <w:t xml:space="preserve">la NAC multilobar, </w:t>
      </w:r>
      <w:r>
        <w:rPr>
          <w:rFonts w:ascii="Arial" w:cs="Arial" w:hAnsi="Arial"/>
          <w:sz w:val="24"/>
          <w:szCs w:val="24"/>
        </w:rPr>
        <w:t>el choque</w:t>
      </w:r>
      <w:r>
        <w:rPr>
          <w:rFonts w:ascii="Arial" w:cs="Arial" w:hAnsi="Arial"/>
          <w:sz w:val="24"/>
          <w:szCs w:val="24"/>
        </w:rPr>
        <w:t xml:space="preserve"> y la ERC</w:t>
      </w:r>
      <w:r>
        <w:rPr>
          <w:rFonts w:ascii="Arial" w:cs="Arial" w:hAnsi="Arial"/>
          <w:sz w:val="24"/>
          <w:szCs w:val="24"/>
        </w:rPr>
        <w:t>, entre otros</w:t>
      </w:r>
      <w:r>
        <w:rPr>
          <w:rFonts w:ascii="Arial" w:cs="Arial" w:hAnsi="Arial"/>
          <w:sz w:val="24"/>
          <w:szCs w:val="24"/>
          <w:vertAlign w:val="superscript"/>
        </w:rPr>
        <w:t>14,30,37,69,70,75</w:t>
      </w:r>
      <w:r>
        <w:rPr>
          <w:rFonts w:ascii="Arial" w:cs="Arial" w:hAnsi="Arial"/>
          <w:sz w:val="24"/>
          <w:szCs w:val="24"/>
        </w:rPr>
        <w:t>.</w:t>
      </w:r>
      <w:r>
        <w:rPr>
          <w:rFonts w:ascii="Arial" w:cs="Arial" w:hAnsi="Arial"/>
          <w:sz w:val="24"/>
          <w:szCs w:val="24"/>
        </w:rPr>
        <w:t xml:space="preserve"> Explicaciones a estos resultados quedan evidenciado durante la discusión de cada uno de los factores realizada antes. </w:t>
      </w:r>
    </w:p>
    <w:p>
      <w:pPr>
        <w:pStyle w:val="style0"/>
        <w:autoSpaceDE w:val="false"/>
        <w:autoSpaceDN w:val="false"/>
        <w:adjustRightInd w:val="false"/>
        <w:spacing w:after="0" w:lineRule="auto" w:line="360"/>
        <w:jc w:val="both"/>
        <w:rPr>
          <w:rFonts w:ascii="Arial" w:cs="Arial" w:hAnsi="Arial"/>
          <w:sz w:val="24"/>
          <w:szCs w:val="24"/>
          <w:vertAlign w:val="superscript"/>
        </w:rPr>
      </w:pPr>
      <w:r>
        <w:rPr>
          <w:rFonts w:ascii="Arial" w:cs="Arial" w:hAnsi="Arial"/>
          <w:sz w:val="24"/>
          <w:szCs w:val="24"/>
        </w:rPr>
        <w:t>Para la prevención y control del riesgo de las enfermedades infecciosas, es recomendable la determinación del riesgo individual en aras de ofrecer mejor atención a la población de riesgo y de esa manera establecer un plan terapéutico en cada caso</w:t>
      </w:r>
      <w:r>
        <w:rPr>
          <w:rFonts w:ascii="Arial" w:cs="Arial" w:hAnsi="Arial"/>
          <w:sz w:val="24"/>
          <w:szCs w:val="24"/>
        </w:rPr>
        <w:t xml:space="preserve">, en la población en general y sobre todo en pacientes con comorbilidades en particular en individuos con EPOC.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 pesar de la existencia de numerosas guías y protocolos universalmente publicados</w:t>
      </w:r>
      <w:r>
        <w:rPr>
          <w:rFonts w:ascii="Arial" w:cs="Arial" w:hAnsi="Arial"/>
          <w:sz w:val="24"/>
          <w:szCs w:val="24"/>
        </w:rPr>
        <w:t xml:space="preserve">, </w:t>
      </w:r>
      <w:r>
        <w:rPr>
          <w:rFonts w:ascii="Arial" w:cs="Arial" w:hAnsi="Arial"/>
          <w:sz w:val="24"/>
          <w:szCs w:val="24"/>
        </w:rPr>
        <w:t xml:space="preserve"> </w:t>
      </w:r>
      <w:r>
        <w:rPr>
          <w:rFonts w:ascii="Arial" w:cs="Arial" w:hAnsi="Arial"/>
          <w:sz w:val="24"/>
          <w:szCs w:val="24"/>
        </w:rPr>
        <w:t xml:space="preserve">en una consulta ambulatoria o de urgencias, la mayoría de las veces existe el inconveniente, sobre que guía </w:t>
      </w:r>
      <w:r>
        <w:rPr>
          <w:rFonts w:ascii="Arial" w:cs="Arial" w:hAnsi="Arial"/>
          <w:sz w:val="24"/>
          <w:szCs w:val="24"/>
        </w:rPr>
        <w:t xml:space="preserve">o índice </w:t>
      </w:r>
      <w:r>
        <w:rPr>
          <w:rFonts w:ascii="Arial" w:cs="Arial" w:hAnsi="Arial"/>
          <w:sz w:val="24"/>
          <w:szCs w:val="24"/>
        </w:rPr>
        <w:t xml:space="preserve">utilizar y </w:t>
      </w:r>
      <w:r>
        <w:rPr>
          <w:rFonts w:ascii="Arial" w:cs="Arial" w:hAnsi="Arial"/>
          <w:sz w:val="24"/>
          <w:szCs w:val="24"/>
        </w:rPr>
        <w:t xml:space="preserve">de hecho </w:t>
      </w:r>
      <w:r>
        <w:rPr>
          <w:rFonts w:ascii="Arial" w:cs="Arial" w:hAnsi="Arial"/>
          <w:sz w:val="24"/>
          <w:szCs w:val="24"/>
        </w:rPr>
        <w:t>muchas no siempre son prácticas, reproducibles y adaptables al medio en el que se asiste al enfermo</w:t>
      </w:r>
      <w:r>
        <w:rPr>
          <w:rFonts w:ascii="Arial" w:cs="Arial" w:hAnsi="Arial"/>
          <w:sz w:val="24"/>
          <w:szCs w:val="24"/>
          <w:vertAlign w:val="superscript"/>
        </w:rPr>
        <w:t>14,75-77</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color w:val="000000"/>
          <w:sz w:val="24"/>
          <w:szCs w:val="24"/>
        </w:rPr>
      </w:pPr>
      <w:r>
        <w:rPr>
          <w:rFonts w:ascii="Arial" w:cs="Arial" w:hAnsi="Arial"/>
          <w:sz w:val="24"/>
          <w:szCs w:val="24"/>
        </w:rPr>
        <w:t>Por lo antes expuesto se decidió la construcción de un índice para medir el pronóstico de morir por NAC</w:t>
      </w:r>
      <w:r>
        <w:rPr>
          <w:rFonts w:ascii="Arial" w:cs="Arial" w:hAnsi="Arial"/>
          <w:sz w:val="24"/>
          <w:szCs w:val="24"/>
        </w:rPr>
        <w:t xml:space="preserve"> en pacientes con EPOC</w:t>
      </w:r>
      <w:r>
        <w:rPr>
          <w:rFonts w:ascii="Arial" w:cs="Arial" w:hAnsi="Arial"/>
          <w:sz w:val="24"/>
          <w:szCs w:val="24"/>
        </w:rPr>
        <w:t xml:space="preserve">, que es </w:t>
      </w:r>
      <w:r>
        <w:rPr>
          <w:rFonts w:ascii="Arial" w:cs="Arial" w:hAnsi="Arial"/>
          <w:sz w:val="24"/>
          <w:szCs w:val="24"/>
        </w:rPr>
        <w:t xml:space="preserve">de </w:t>
      </w:r>
      <w:r>
        <w:rPr>
          <w:rFonts w:ascii="Arial" w:cs="Arial" w:hAnsi="Arial"/>
          <w:sz w:val="24"/>
          <w:szCs w:val="24"/>
        </w:rPr>
        <w:t>las enfermedades infecciosas más frecuente</w:t>
      </w:r>
      <w:r>
        <w:rPr>
          <w:rFonts w:ascii="Arial" w:cs="Arial" w:hAnsi="Arial"/>
          <w:sz w:val="24"/>
          <w:szCs w:val="24"/>
        </w:rPr>
        <w:t>s</w:t>
      </w:r>
      <w:r>
        <w:rPr>
          <w:rFonts w:ascii="Arial" w:cs="Arial" w:hAnsi="Arial"/>
          <w:sz w:val="24"/>
          <w:szCs w:val="24"/>
        </w:rPr>
        <w:t xml:space="preserve"> en nuestro medio </w:t>
      </w:r>
      <w:r>
        <w:rPr>
          <w:rFonts w:ascii="Arial" w:cs="Arial" w:hAnsi="Arial"/>
          <w:sz w:val="24"/>
          <w:szCs w:val="24"/>
        </w:rPr>
        <w:t xml:space="preserve">en particular en </w:t>
      </w:r>
      <w:r>
        <w:rPr>
          <w:rFonts w:ascii="Arial" w:cs="Arial" w:hAnsi="Arial"/>
          <w:sz w:val="24"/>
          <w:szCs w:val="24"/>
        </w:rPr>
        <w:t xml:space="preserve">pacientes con EPOC </w:t>
      </w:r>
      <w:r>
        <w:rPr>
          <w:rFonts w:ascii="Arial" w:cs="Arial" w:hAnsi="Arial"/>
          <w:sz w:val="24"/>
          <w:szCs w:val="24"/>
        </w:rPr>
        <w:t>y la única que se encuentra entre las primeras diez causas de muerte.</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Aunque la escala propuesta no es un reflejo del valor exacto del riesgo, se considera aceptable, además de ser sencilla su aplicación y reproducible. Las variables y su peso o puntaje seleccionado para las mismas son perfectamente razonables y apoyados en la importancia que tienen los recientes factores de pronósticos citados en la literatura.</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Los pacientes fueron estratificados en tres categorías de riesgo, según los puntos</w:t>
      </w:r>
      <w:r>
        <w:rPr>
          <w:rFonts w:ascii="Arial" w:cs="Arial" w:hAnsi="Arial"/>
          <w:sz w:val="24"/>
          <w:szCs w:val="24"/>
        </w:rPr>
        <w:t xml:space="preserve"> </w:t>
      </w:r>
      <w:r>
        <w:rPr>
          <w:rFonts w:ascii="Arial" w:cs="Arial" w:hAnsi="Arial"/>
          <w:sz w:val="24"/>
          <w:szCs w:val="24"/>
        </w:rPr>
        <w:t>obtenidos, lo que permitió definir tanto el pronóstico como el lugar donde debían</w:t>
      </w:r>
      <w:r>
        <w:rPr>
          <w:rFonts w:ascii="Arial" w:cs="Arial" w:hAnsi="Arial"/>
          <w:sz w:val="24"/>
          <w:szCs w:val="24"/>
        </w:rPr>
        <w:t xml:space="preserve"> </w:t>
      </w:r>
      <w:r>
        <w:rPr>
          <w:rFonts w:ascii="Arial" w:cs="Arial" w:hAnsi="Arial"/>
          <w:sz w:val="24"/>
          <w:szCs w:val="24"/>
        </w:rPr>
        <w:t>recibir asistencia médica, ya sea en la atención primaria de salud, en las salas de</w:t>
      </w:r>
      <w:r>
        <w:rPr>
          <w:rFonts w:ascii="Arial" w:cs="Arial" w:hAnsi="Arial"/>
          <w:sz w:val="24"/>
          <w:szCs w:val="24"/>
        </w:rPr>
        <w:t xml:space="preserve"> M</w:t>
      </w:r>
      <w:r>
        <w:rPr>
          <w:rFonts w:ascii="Arial" w:cs="Arial" w:hAnsi="Arial"/>
          <w:sz w:val="24"/>
          <w:szCs w:val="24"/>
        </w:rPr>
        <w:t xml:space="preserve">edicina </w:t>
      </w:r>
      <w:r>
        <w:rPr>
          <w:rFonts w:ascii="Arial" w:cs="Arial" w:hAnsi="Arial"/>
          <w:sz w:val="24"/>
          <w:szCs w:val="24"/>
        </w:rPr>
        <w:t>I</w:t>
      </w:r>
      <w:r>
        <w:rPr>
          <w:rFonts w:ascii="Arial" w:cs="Arial" w:hAnsi="Arial"/>
          <w:sz w:val="24"/>
          <w:szCs w:val="24"/>
        </w:rPr>
        <w:t>nterna o en las unidades de cuidados intensivos.</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Dado que con la información actualmente disponible ninguna escala pronóstica presenta unos valores predictivos incuestionables para definir el riesgo de muerte, en la decisión de ingreso hospitalario debe prevalecer el juicio clínico y la individualización ante cada paciente.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Sin embargo, aunque el índice propuesto, debe aún ser sometido al proceso de validación tanto interna como externa, </w:t>
      </w:r>
      <w:r>
        <w:rPr>
          <w:rFonts w:ascii="Arial" w:cs="Arial" w:hAnsi="Arial"/>
          <w:sz w:val="24"/>
          <w:szCs w:val="24"/>
        </w:rPr>
        <w:t>se puede</w:t>
      </w:r>
      <w:r>
        <w:rPr>
          <w:rFonts w:ascii="Arial" w:cs="Arial" w:hAnsi="Arial"/>
          <w:sz w:val="24"/>
          <w:szCs w:val="24"/>
        </w:rPr>
        <w:t xml:space="preserve"> adelantar diciendo que el hecho de ser original en nuestro medio, y basado en factores fáciles de obtener a la cabecera del paciente, tendrá utilidad práctica.</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Por otro lado, puede observarse que refleja </w:t>
      </w:r>
      <w:r>
        <w:rPr>
          <w:rFonts w:ascii="Arial" w:cs="Arial" w:hAnsi="Arial"/>
          <w:sz w:val="24"/>
          <w:szCs w:val="24"/>
        </w:rPr>
        <w:t>elevada mortalidad en los pacientes clasificados en la</w:t>
      </w:r>
      <w:r>
        <w:rPr>
          <w:rFonts w:ascii="Arial" w:cs="Arial" w:hAnsi="Arial"/>
          <w:sz w:val="24"/>
          <w:szCs w:val="24"/>
        </w:rPr>
        <w:t>s</w:t>
      </w:r>
      <w:r>
        <w:rPr>
          <w:rFonts w:ascii="Arial" w:cs="Arial" w:hAnsi="Arial"/>
          <w:sz w:val="24"/>
          <w:szCs w:val="24"/>
        </w:rPr>
        <w:t xml:space="preserve"> categoría</w:t>
      </w:r>
      <w:r>
        <w:rPr>
          <w:rFonts w:ascii="Arial" w:cs="Arial" w:hAnsi="Arial"/>
          <w:sz w:val="24"/>
          <w:szCs w:val="24"/>
        </w:rPr>
        <w:t xml:space="preserve">s de mayor riesgo, siendo total en los clasificados en la categoría tres </w:t>
      </w:r>
      <w:r>
        <w:rPr>
          <w:rFonts w:ascii="Arial" w:cs="Arial" w:hAnsi="Arial"/>
          <w:sz w:val="24"/>
          <w:szCs w:val="24"/>
        </w:rPr>
        <w:t>III</w:t>
      </w:r>
      <w:r>
        <w:rPr>
          <w:rFonts w:ascii="Arial" w:cs="Arial" w:hAnsi="Arial"/>
          <w:sz w:val="24"/>
          <w:szCs w:val="24"/>
        </w:rPr>
        <w:t>. Hecho que indica</w:t>
      </w:r>
      <w:r>
        <w:rPr>
          <w:rFonts w:ascii="Arial" w:cs="Arial" w:hAnsi="Arial"/>
          <w:sz w:val="24"/>
          <w:szCs w:val="24"/>
        </w:rPr>
        <w:t xml:space="preserve"> la necesidad de ingreso </w:t>
      </w:r>
      <w:r>
        <w:rPr>
          <w:rFonts w:ascii="Arial" w:cs="Arial" w:hAnsi="Arial"/>
          <w:sz w:val="24"/>
          <w:szCs w:val="24"/>
        </w:rPr>
        <w:t>obliga</w:t>
      </w:r>
      <w:r>
        <w:rPr>
          <w:rFonts w:ascii="Arial" w:cs="Arial" w:hAnsi="Arial"/>
          <w:sz w:val="24"/>
          <w:szCs w:val="24"/>
        </w:rPr>
        <w:t>torio</w:t>
      </w:r>
      <w:r>
        <w:rPr>
          <w:rFonts w:ascii="Arial" w:cs="Arial" w:hAnsi="Arial"/>
          <w:sz w:val="24"/>
          <w:szCs w:val="24"/>
        </w:rPr>
        <w:t xml:space="preserve"> en </w:t>
      </w:r>
      <w:r>
        <w:rPr>
          <w:rFonts w:ascii="Arial" w:cs="Arial" w:hAnsi="Arial"/>
          <w:sz w:val="24"/>
          <w:szCs w:val="24"/>
        </w:rPr>
        <w:t xml:space="preserve">las </w:t>
      </w:r>
      <w:r>
        <w:rPr>
          <w:rFonts w:ascii="Arial" w:cs="Arial" w:hAnsi="Arial"/>
          <w:sz w:val="24"/>
          <w:szCs w:val="24"/>
        </w:rPr>
        <w:t xml:space="preserve">unidades de </w:t>
      </w:r>
      <w:r>
        <w:rPr>
          <w:rFonts w:ascii="Arial" w:cs="Arial" w:hAnsi="Arial"/>
          <w:sz w:val="24"/>
          <w:szCs w:val="24"/>
        </w:rPr>
        <w:t>cuidados intensivos e intermedios</w:t>
      </w:r>
      <w:r>
        <w:rPr>
          <w:rFonts w:ascii="Arial" w:cs="Arial" w:hAnsi="Arial"/>
          <w:sz w:val="24"/>
          <w:szCs w:val="24"/>
        </w:rPr>
        <w:t>.</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Asimismo, el hecho que muestre un área bajo la curva COR, cercana a uno, indica la capacidad discriminativa del índice de muy buena, por lo que es poco probable que un paciente clasificado en las categorías de mayor riesgo no fallezcan, sobre todo en la III. </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A modo de conclusión, se puede señalar que e</w:t>
      </w:r>
      <w:r>
        <w:rPr>
          <w:rFonts w:ascii="Arial" w:cs="Arial" w:hAnsi="Arial"/>
          <w:sz w:val="24"/>
          <w:szCs w:val="24"/>
        </w:rPr>
        <w:t>l índice pronóstico propuesto tiene como preeminencia su simplicidad y fácil</w:t>
      </w:r>
      <w:r>
        <w:rPr>
          <w:rFonts w:ascii="Arial" w:cs="Arial" w:hAnsi="Arial"/>
          <w:sz w:val="24"/>
          <w:szCs w:val="24"/>
        </w:rPr>
        <w:t xml:space="preserve"> </w:t>
      </w:r>
      <w:r>
        <w:rPr>
          <w:rFonts w:ascii="Arial" w:cs="Arial" w:hAnsi="Arial"/>
          <w:sz w:val="24"/>
          <w:szCs w:val="24"/>
        </w:rPr>
        <w:t xml:space="preserve">aplicación, incluye solo </w:t>
      </w:r>
      <w:r>
        <w:rPr>
          <w:rFonts w:ascii="Arial" w:cs="Arial" w:hAnsi="Arial"/>
          <w:sz w:val="24"/>
          <w:szCs w:val="24"/>
        </w:rPr>
        <w:t>7</w:t>
      </w:r>
      <w:r>
        <w:rPr>
          <w:rFonts w:ascii="Arial" w:cs="Arial" w:hAnsi="Arial"/>
          <w:sz w:val="24"/>
          <w:szCs w:val="24"/>
        </w:rPr>
        <w:t xml:space="preserve"> parámetros clínicos y complementarios que suelen estar a</w:t>
      </w:r>
      <w:r>
        <w:rPr>
          <w:rFonts w:ascii="Arial" w:cs="Arial" w:hAnsi="Arial"/>
          <w:sz w:val="24"/>
          <w:szCs w:val="24"/>
        </w:rPr>
        <w:t xml:space="preserve"> </w:t>
      </w:r>
      <w:r>
        <w:rPr>
          <w:rFonts w:ascii="Arial" w:cs="Arial" w:hAnsi="Arial"/>
          <w:sz w:val="24"/>
          <w:szCs w:val="24"/>
        </w:rPr>
        <w:t>disposición en todas las unidades asistenciales del país, sin requerir exámenes de</w:t>
      </w:r>
      <w:r>
        <w:rPr>
          <w:rFonts w:ascii="Arial" w:cs="Arial" w:hAnsi="Arial"/>
          <w:sz w:val="24"/>
          <w:szCs w:val="24"/>
        </w:rPr>
        <w:t xml:space="preserve"> </w:t>
      </w:r>
      <w:r>
        <w:rPr>
          <w:rFonts w:ascii="Arial" w:cs="Arial" w:hAnsi="Arial"/>
          <w:sz w:val="24"/>
          <w:szCs w:val="24"/>
        </w:rPr>
        <w:t>laboratorios laboriosos y costosos. Los componentes del índice se obtienen a partir</w:t>
      </w:r>
      <w:r>
        <w:rPr>
          <w:rFonts w:ascii="Arial" w:cs="Arial" w:hAnsi="Arial"/>
          <w:sz w:val="24"/>
          <w:szCs w:val="24"/>
        </w:rPr>
        <w:t xml:space="preserve"> </w:t>
      </w:r>
      <w:r>
        <w:rPr>
          <w:rFonts w:ascii="Arial" w:cs="Arial" w:hAnsi="Arial"/>
          <w:sz w:val="24"/>
          <w:szCs w:val="24"/>
        </w:rPr>
        <w:t>de un estudio de cohorte realizado a priori a nivel local y no basado en el empleo de</w:t>
      </w:r>
      <w:r>
        <w:rPr>
          <w:rFonts w:ascii="Arial" w:cs="Arial" w:hAnsi="Arial"/>
          <w:sz w:val="24"/>
          <w:szCs w:val="24"/>
        </w:rPr>
        <w:t xml:space="preserve"> </w:t>
      </w:r>
      <w:r>
        <w:rPr>
          <w:rFonts w:ascii="Arial" w:cs="Arial" w:hAnsi="Arial"/>
          <w:sz w:val="24"/>
          <w:szCs w:val="24"/>
        </w:rPr>
        <w:t>datos de investigaciones foráneas, hecho que hace posible su aplicación clínica no</w:t>
      </w:r>
      <w:r>
        <w:rPr>
          <w:rFonts w:ascii="Arial" w:cs="Arial" w:hAnsi="Arial"/>
          <w:sz w:val="24"/>
          <w:szCs w:val="24"/>
        </w:rPr>
        <w:t xml:space="preserve"> </w:t>
      </w:r>
      <w:r>
        <w:rPr>
          <w:rFonts w:ascii="Arial" w:cs="Arial" w:hAnsi="Arial"/>
          <w:sz w:val="24"/>
          <w:szCs w:val="24"/>
        </w:rPr>
        <w:t xml:space="preserve">solo </w:t>
      </w:r>
      <w:r>
        <w:rPr>
          <w:rFonts w:ascii="Arial" w:cs="Arial" w:hAnsi="Arial"/>
          <w:sz w:val="24"/>
          <w:szCs w:val="24"/>
        </w:rPr>
        <w:t>en los centros hospitalarios, sino que al nivel primario se pueden clasificar</w:t>
      </w:r>
      <w:r>
        <w:rPr>
          <w:rFonts w:ascii="Arial" w:cs="Arial" w:hAnsi="Arial"/>
          <w:sz w:val="24"/>
          <w:szCs w:val="24"/>
        </w:rPr>
        <w:t xml:space="preserve"> </w:t>
      </w:r>
      <w:r>
        <w:rPr>
          <w:rFonts w:ascii="Arial" w:cs="Arial" w:hAnsi="Arial"/>
          <w:sz w:val="24"/>
          <w:szCs w:val="24"/>
        </w:rPr>
        <w:t>adecuadamente los enfermos y reducir de esa manera la sobrecarga asistencial en</w:t>
      </w:r>
      <w:r>
        <w:rPr>
          <w:rFonts w:ascii="Arial" w:cs="Arial" w:hAnsi="Arial"/>
          <w:sz w:val="24"/>
          <w:szCs w:val="24"/>
        </w:rPr>
        <w:t xml:space="preserve"> </w:t>
      </w:r>
      <w:r>
        <w:rPr>
          <w:rFonts w:ascii="Arial" w:cs="Arial" w:hAnsi="Arial"/>
          <w:sz w:val="24"/>
          <w:szCs w:val="24"/>
        </w:rPr>
        <w:t>atención secundaria y el costo de los enfermos.</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Como limitación del estudio, el índice propuesto no incluye el tipo de germen</w:t>
      </w:r>
      <w:r>
        <w:rPr>
          <w:rFonts w:ascii="Arial" w:cs="Arial" w:hAnsi="Arial"/>
          <w:sz w:val="24"/>
          <w:szCs w:val="24"/>
        </w:rPr>
        <w:t xml:space="preserve"> </w:t>
      </w:r>
      <w:r>
        <w:rPr>
          <w:rFonts w:ascii="Arial" w:cs="Arial" w:hAnsi="Arial"/>
          <w:sz w:val="24"/>
          <w:szCs w:val="24"/>
        </w:rPr>
        <w:t>causante, así como elementos en el orden social que pueden influir negativamente</w:t>
      </w:r>
      <w:r>
        <w:rPr>
          <w:rFonts w:ascii="Arial" w:cs="Arial" w:hAnsi="Arial"/>
          <w:sz w:val="24"/>
          <w:szCs w:val="24"/>
        </w:rPr>
        <w:t xml:space="preserve"> </w:t>
      </w:r>
      <w:r>
        <w:rPr>
          <w:rFonts w:ascii="Arial" w:cs="Arial" w:hAnsi="Arial"/>
          <w:sz w:val="24"/>
          <w:szCs w:val="24"/>
        </w:rPr>
        <w:t>en la evolución de los pacientes de bajo riesgo y por consiguiente pueden ser</w:t>
      </w:r>
      <w:r>
        <w:rPr>
          <w:rFonts w:ascii="Arial" w:cs="Arial" w:hAnsi="Arial"/>
          <w:sz w:val="24"/>
          <w:szCs w:val="24"/>
        </w:rPr>
        <w:t xml:space="preserve"> </w:t>
      </w:r>
      <w:r>
        <w:rPr>
          <w:rFonts w:ascii="Arial" w:cs="Arial" w:hAnsi="Arial"/>
          <w:sz w:val="24"/>
          <w:szCs w:val="24"/>
        </w:rPr>
        <w:t>tratados en el nivel primario (problemas familiares y sociales: vivir sin familia, no</w:t>
      </w:r>
      <w:r>
        <w:rPr>
          <w:rFonts w:ascii="Arial" w:cs="Arial" w:hAnsi="Arial"/>
          <w:sz w:val="24"/>
          <w:szCs w:val="24"/>
        </w:rPr>
        <w:t xml:space="preserve"> </w:t>
      </w:r>
      <w:r>
        <w:rPr>
          <w:rFonts w:ascii="Arial" w:cs="Arial" w:hAnsi="Arial"/>
          <w:sz w:val="24"/>
          <w:szCs w:val="24"/>
        </w:rPr>
        <w:t>tener hogar, dificultades para cumplir el tratamiento en casa), aspectos que</w:t>
      </w:r>
      <w:r>
        <w:rPr>
          <w:rFonts w:ascii="Arial" w:cs="Arial" w:hAnsi="Arial"/>
          <w:sz w:val="24"/>
          <w:szCs w:val="24"/>
        </w:rPr>
        <w:t xml:space="preserve"> </w:t>
      </w:r>
      <w:r>
        <w:rPr>
          <w:rFonts w:ascii="Arial" w:cs="Arial" w:hAnsi="Arial"/>
          <w:sz w:val="24"/>
          <w:szCs w:val="24"/>
        </w:rPr>
        <w:t>deberían tomarse en consideración antes de decidir el destino del paciente con</w:t>
      </w:r>
      <w:r>
        <w:rPr>
          <w:rFonts w:ascii="Arial" w:cs="Arial" w:hAnsi="Arial"/>
          <w:sz w:val="24"/>
          <w:szCs w:val="24"/>
        </w:rPr>
        <w:t xml:space="preserve"> </w:t>
      </w:r>
      <w:r>
        <w:rPr>
          <w:rFonts w:ascii="Arial" w:cs="Arial" w:hAnsi="Arial"/>
          <w:sz w:val="24"/>
          <w:szCs w:val="24"/>
        </w:rPr>
        <w:t>NAC</w:t>
      </w:r>
      <w:r>
        <w:rPr>
          <w:rFonts w:ascii="Arial" w:cs="Arial" w:hAnsi="Arial"/>
          <w:sz w:val="24"/>
          <w:szCs w:val="24"/>
        </w:rPr>
        <w:t xml:space="preserve"> y EPOC</w:t>
      </w:r>
      <w:r>
        <w:rPr>
          <w:rFonts w:ascii="Arial" w:cs="Arial" w:hAnsi="Arial"/>
          <w:sz w:val="24"/>
          <w:szCs w:val="24"/>
        </w:rPr>
        <w:t>.</w:t>
      </w:r>
    </w:p>
    <w:p>
      <w:pPr>
        <w:pStyle w:val="style0"/>
        <w:spacing w:after="200" w:lineRule="auto" w:line="276"/>
        <w:rPr>
          <w:rFonts w:ascii="Arial" w:cs="Arial" w:hAnsi="Arial"/>
          <w:sz w:val="24"/>
          <w:szCs w:val="24"/>
        </w:rPr>
      </w:pPr>
      <w:r>
        <w:rPr>
          <w:rFonts w:ascii="Arial" w:cs="Arial" w:hAnsi="Arial"/>
          <w:sz w:val="24"/>
          <w:szCs w:val="24"/>
        </w:rPr>
        <w:br w:type="page"/>
      </w:r>
    </w:p>
    <w:p>
      <w:pPr>
        <w:pStyle w:val="style0"/>
        <w:spacing w:after="0" w:lineRule="auto" w:line="360"/>
        <w:ind w:right="49"/>
        <w:jc w:val="both"/>
        <w:rPr>
          <w:rFonts w:ascii="Arial" w:cs="Arial" w:eastAsia="Arial" w:hAnsi="Arial"/>
          <w:b/>
          <w:sz w:val="24"/>
        </w:rPr>
      </w:pPr>
      <w:r>
        <w:rPr>
          <w:rFonts w:ascii="Arial" w:cs="Arial" w:eastAsia="Arial" w:hAnsi="Arial"/>
          <w:b/>
          <w:sz w:val="24"/>
        </w:rPr>
        <w:t xml:space="preserve">Conclusiones </w:t>
      </w:r>
    </w:p>
    <w:p>
      <w:pPr>
        <w:pStyle w:val="style0"/>
        <w:spacing w:after="0" w:lineRule="auto" w:line="360"/>
        <w:ind w:right="49"/>
        <w:jc w:val="both"/>
        <w:rPr>
          <w:rFonts w:ascii="Arial" w:cs="Arial" w:eastAsia="Arial" w:hAnsi="Arial"/>
          <w:sz w:val="24"/>
        </w:rPr>
      </w:pPr>
    </w:p>
    <w:p>
      <w:pPr>
        <w:pStyle w:val="style179"/>
        <w:numPr>
          <w:ilvl w:val="0"/>
          <w:numId w:val="7"/>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Se identificó a la </w:t>
      </w:r>
      <w:r>
        <w:rPr>
          <w:rFonts w:ascii="Arial" w:cs="Arial" w:hAnsi="Arial"/>
          <w:sz w:val="24"/>
          <w:szCs w:val="24"/>
        </w:rPr>
        <w:t>neumonía multilobar, al choque y a la enfermedad renal crónica</w:t>
      </w:r>
      <w:r>
        <w:rPr>
          <w:rFonts w:ascii="Arial" w:cs="Arial" w:hAnsi="Arial"/>
          <w:sz w:val="24"/>
          <w:szCs w:val="24"/>
        </w:rPr>
        <w:t xml:space="preserve">, como los factores de mayor influencia </w:t>
      </w:r>
      <w:r>
        <w:rPr>
          <w:rFonts w:ascii="Arial" w:cs="Arial" w:hAnsi="Arial"/>
          <w:sz w:val="24"/>
          <w:szCs w:val="24"/>
        </w:rPr>
        <w:t>en el pronóstico de morir por neumonía comunitaria en pacientes con enfermedad pulmonar obstructiva crónica</w:t>
      </w:r>
      <w:r>
        <w:rPr>
          <w:rFonts w:ascii="Arial" w:cs="Arial" w:hAnsi="Arial"/>
          <w:sz w:val="24"/>
          <w:szCs w:val="24"/>
        </w:rPr>
        <w:t>.</w:t>
      </w:r>
    </w:p>
    <w:p>
      <w:pPr>
        <w:pStyle w:val="style179"/>
        <w:numPr>
          <w:ilvl w:val="0"/>
          <w:numId w:val="7"/>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Se obtiene un </w:t>
      </w:r>
      <w:r>
        <w:rPr>
          <w:rFonts w:ascii="Arial" w:cs="Arial" w:hAnsi="Arial"/>
          <w:sz w:val="24"/>
          <w:szCs w:val="24"/>
        </w:rPr>
        <w:t>índice</w:t>
      </w:r>
      <w:r>
        <w:rPr>
          <w:rFonts w:ascii="Arial" w:cs="Arial" w:hAnsi="Arial"/>
          <w:sz w:val="24"/>
          <w:szCs w:val="24"/>
        </w:rPr>
        <w:t xml:space="preserve"> para </w:t>
      </w:r>
      <w:r>
        <w:rPr>
          <w:rFonts w:ascii="Arial" w:cs="Arial" w:hAnsi="Arial"/>
          <w:sz w:val="24"/>
          <w:szCs w:val="24"/>
        </w:rPr>
        <w:t xml:space="preserve">pronosticar el riesgo de morir por neumonía comunitaria en pacientes con enfermedad pulmonar obstructiva crónica con adecuada capacidad discriminativa y calibración. </w:t>
      </w:r>
    </w:p>
    <w:p>
      <w:pPr>
        <w:pStyle w:val="style0"/>
        <w:autoSpaceDE w:val="false"/>
        <w:autoSpaceDN w:val="false"/>
        <w:adjustRightInd w:val="false"/>
        <w:spacing w:after="0" w:lineRule="auto" w:line="360"/>
        <w:jc w:val="both"/>
        <w:rPr>
          <w:rFonts w:ascii="Arial" w:cs="Arial" w:eastAsia="Arial" w:hAnsi="Arial"/>
          <w:b/>
          <w:sz w:val="24"/>
        </w:rPr>
      </w:pPr>
    </w:p>
    <w:p>
      <w:pPr>
        <w:pStyle w:val="style0"/>
        <w:autoSpaceDE w:val="false"/>
        <w:autoSpaceDN w:val="false"/>
        <w:adjustRightInd w:val="false"/>
        <w:spacing w:after="0" w:lineRule="auto" w:line="360"/>
        <w:jc w:val="both"/>
        <w:rPr>
          <w:rFonts w:ascii="Arial" w:cs="Arial" w:eastAsia="Arial" w:hAnsi="Arial"/>
          <w:b/>
          <w:sz w:val="24"/>
        </w:rPr>
      </w:pPr>
    </w:p>
    <w:p>
      <w:pPr>
        <w:pStyle w:val="style0"/>
        <w:autoSpaceDE w:val="false"/>
        <w:autoSpaceDN w:val="false"/>
        <w:adjustRightInd w:val="false"/>
        <w:spacing w:after="0" w:lineRule="auto" w:line="360"/>
        <w:jc w:val="both"/>
        <w:rPr>
          <w:rFonts w:ascii="Arial" w:cs="Arial" w:eastAsia="Arial" w:hAnsi="Arial"/>
          <w:b/>
          <w:sz w:val="24"/>
        </w:rPr>
      </w:pPr>
      <w:r>
        <w:rPr>
          <w:rFonts w:ascii="Arial" w:cs="Arial" w:eastAsia="Arial" w:hAnsi="Arial"/>
          <w:b/>
          <w:sz w:val="24"/>
        </w:rPr>
        <w:t>Recomendaciones</w:t>
      </w:r>
    </w:p>
    <w:p>
      <w:pPr>
        <w:pStyle w:val="style0"/>
        <w:autoSpaceDE w:val="false"/>
        <w:autoSpaceDN w:val="false"/>
        <w:adjustRightInd w:val="false"/>
        <w:spacing w:after="0" w:lineRule="auto" w:line="360"/>
        <w:jc w:val="both"/>
        <w:rPr>
          <w:rFonts w:ascii="Arial" w:cs="Arial" w:eastAsia="Arial" w:hAnsi="Arial"/>
          <w:sz w:val="24"/>
        </w:rPr>
      </w:pPr>
    </w:p>
    <w:p>
      <w:pPr>
        <w:pStyle w:val="style0"/>
        <w:numPr>
          <w:ilvl w:val="0"/>
          <w:numId w:val="6"/>
        </w:numPr>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Validar en el índice propuesto y así, c</w:t>
      </w:r>
      <w:r>
        <w:rPr>
          <w:rFonts w:ascii="Arial" w:cs="Arial" w:hAnsi="Arial"/>
          <w:sz w:val="24"/>
          <w:szCs w:val="24"/>
        </w:rPr>
        <w:t xml:space="preserve">onsiderar </w:t>
      </w:r>
      <w:r>
        <w:rPr>
          <w:rFonts w:ascii="Arial" w:cs="Arial" w:hAnsi="Arial"/>
          <w:sz w:val="24"/>
          <w:szCs w:val="24"/>
        </w:rPr>
        <w:t xml:space="preserve">su empleo </w:t>
      </w:r>
      <w:r>
        <w:rPr>
          <w:rFonts w:ascii="Arial" w:cs="Arial" w:hAnsi="Arial"/>
          <w:sz w:val="24"/>
          <w:szCs w:val="24"/>
        </w:rPr>
        <w:t xml:space="preserve">en </w:t>
      </w:r>
      <w:r>
        <w:rPr>
          <w:rFonts w:ascii="Arial" w:cs="Arial" w:hAnsi="Arial"/>
          <w:sz w:val="24"/>
          <w:szCs w:val="24"/>
        </w:rPr>
        <w:t>los</w:t>
      </w:r>
      <w:r>
        <w:rPr>
          <w:rFonts w:ascii="Arial" w:cs="Arial" w:hAnsi="Arial"/>
          <w:sz w:val="24"/>
          <w:szCs w:val="24"/>
        </w:rPr>
        <w:t xml:space="preserve"> nivel</w:t>
      </w:r>
      <w:r>
        <w:rPr>
          <w:rFonts w:ascii="Arial" w:cs="Arial" w:hAnsi="Arial"/>
          <w:sz w:val="24"/>
          <w:szCs w:val="24"/>
        </w:rPr>
        <w:t>es</w:t>
      </w:r>
      <w:r>
        <w:rPr>
          <w:rFonts w:ascii="Arial" w:cs="Arial" w:hAnsi="Arial"/>
          <w:sz w:val="24"/>
          <w:szCs w:val="24"/>
        </w:rPr>
        <w:t xml:space="preserve"> de atención </w:t>
      </w:r>
      <w:r>
        <w:rPr>
          <w:rFonts w:ascii="Arial" w:cs="Arial" w:hAnsi="Arial"/>
          <w:sz w:val="24"/>
          <w:szCs w:val="24"/>
        </w:rPr>
        <w:t xml:space="preserve">tanto </w:t>
      </w:r>
      <w:r>
        <w:rPr>
          <w:rFonts w:ascii="Arial" w:cs="Arial" w:hAnsi="Arial"/>
          <w:sz w:val="24"/>
          <w:szCs w:val="24"/>
        </w:rPr>
        <w:t>primario</w:t>
      </w:r>
      <w:r>
        <w:rPr>
          <w:rFonts w:ascii="Arial" w:cs="Arial" w:hAnsi="Arial"/>
          <w:sz w:val="24"/>
          <w:szCs w:val="24"/>
        </w:rPr>
        <w:t xml:space="preserve"> </w:t>
      </w:r>
      <w:r>
        <w:rPr>
          <w:rFonts w:ascii="Arial" w:cs="Arial" w:hAnsi="Arial"/>
          <w:sz w:val="24"/>
          <w:szCs w:val="24"/>
        </w:rPr>
        <w:t xml:space="preserve">como </w:t>
      </w:r>
      <w:r>
        <w:rPr>
          <w:rFonts w:ascii="Arial" w:cs="Arial" w:hAnsi="Arial"/>
          <w:sz w:val="24"/>
          <w:szCs w:val="24"/>
        </w:rPr>
        <w:t xml:space="preserve">secundario de salud, </w:t>
      </w:r>
      <w:r>
        <w:rPr>
          <w:rFonts w:ascii="Arial" w:cs="Arial" w:hAnsi="Arial"/>
          <w:sz w:val="24"/>
          <w:szCs w:val="24"/>
        </w:rPr>
        <w:t xml:space="preserve">para estratificar el riesgo de morir por NAC en pacientes con EPOC. </w:t>
      </w:r>
    </w:p>
    <w:p>
      <w:pPr>
        <w:pStyle w:val="style0"/>
        <w:autoSpaceDE w:val="false"/>
        <w:autoSpaceDN w:val="false"/>
        <w:adjustRightInd w:val="false"/>
        <w:spacing w:after="0" w:lineRule="auto" w:line="360"/>
        <w:ind w:left="360"/>
        <w:jc w:val="both"/>
        <w:rPr>
          <w:rFonts w:ascii="Arial" w:cs="Arial" w:hAnsi="Arial"/>
          <w:sz w:val="24"/>
          <w:szCs w:val="24"/>
        </w:rPr>
      </w:pPr>
    </w:p>
    <w:p>
      <w:pPr>
        <w:pStyle w:val="style0"/>
        <w:autoSpaceDE w:val="false"/>
        <w:autoSpaceDN w:val="false"/>
        <w:adjustRightInd w:val="false"/>
        <w:spacing w:after="0" w:lineRule="auto" w:line="360"/>
        <w:ind w:left="72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p>
    <w:p>
      <w:pPr>
        <w:pStyle w:val="style0"/>
        <w:autoSpaceDE w:val="false"/>
        <w:autoSpaceDN w:val="false"/>
        <w:adjustRightInd w:val="false"/>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200" w:lineRule="auto" w:line="276"/>
        <w:rPr>
          <w:rFonts w:ascii="Arial" w:cs="Arial" w:hAnsi="Arial"/>
          <w:sz w:val="24"/>
          <w:szCs w:val="24"/>
        </w:rPr>
      </w:pPr>
      <w:r>
        <w:rPr>
          <w:rFonts w:ascii="Arial" w:cs="Arial" w:hAnsi="Arial"/>
          <w:sz w:val="24"/>
          <w:szCs w:val="24"/>
        </w:rPr>
        <w:br w:type="page"/>
      </w:r>
    </w:p>
    <w:p>
      <w:pPr>
        <w:pStyle w:val="style0"/>
        <w:spacing w:after="0" w:lineRule="auto" w:line="360"/>
        <w:rPr>
          <w:rFonts w:ascii="Arial" w:cs="Arial" w:hAnsi="Arial"/>
          <w:b/>
          <w:sz w:val="20"/>
          <w:szCs w:val="20"/>
          <w:lang w:eastAsia="es-VE"/>
        </w:rPr>
      </w:pPr>
    </w:p>
    <w:p>
      <w:pPr>
        <w:pStyle w:val="style0"/>
        <w:spacing w:after="0" w:lineRule="auto" w:line="360"/>
        <w:ind w:right="49"/>
        <w:jc w:val="both"/>
        <w:rPr>
          <w:rFonts w:ascii="Arial" w:cs="Arial" w:hAnsi="Arial"/>
          <w:snapToGrid w:val="false"/>
          <w:sz w:val="24"/>
          <w:szCs w:val="24"/>
          <w:lang w:val="en-US"/>
        </w:rPr>
      </w:pPr>
      <w:r>
        <w:rPr>
          <w:rFonts w:ascii="Arial" w:cs="Arial" w:hAnsi="Arial"/>
          <w:b/>
          <w:sz w:val="24"/>
          <w:szCs w:val="24"/>
          <w:lang w:val="en-US" w:eastAsia="es-ES"/>
        </w:rPr>
        <w:t>REFERENCIAS BIBLIOGRÁFICAS</w:t>
      </w:r>
    </w:p>
    <w:p>
      <w:pPr>
        <w:pStyle w:val="style179"/>
        <w:numPr>
          <w:ilvl w:val="0"/>
          <w:numId w:val="8"/>
        </w:numPr>
        <w:autoSpaceDE w:val="false"/>
        <w:autoSpaceDN w:val="false"/>
        <w:adjustRightInd w:val="false"/>
        <w:spacing w:after="0" w:lineRule="auto" w:line="360"/>
        <w:jc w:val="both"/>
        <w:rPr>
          <w:rFonts w:ascii="Arial" w:cs="Arial" w:hAnsi="Arial"/>
          <w:sz w:val="24"/>
          <w:szCs w:val="24"/>
          <w:lang w:val="en-US" w:eastAsia="es-ES"/>
        </w:rPr>
      </w:pPr>
      <w:r>
        <w:rPr>
          <w:rFonts w:ascii="Arial" w:cs="Arial" w:hAnsi="Arial"/>
          <w:sz w:val="24"/>
          <w:szCs w:val="24"/>
          <w:lang w:val="en-US" w:eastAsia="es-ES"/>
        </w:rPr>
        <w:t>The top 10 causes of death. Geneva: World Health Organization, 2013 (</w:t>
      </w:r>
      <w:r>
        <w:rPr/>
        <w:fldChar w:fldCharType="begin"/>
      </w:r>
      <w:r>
        <w:instrText xml:space="preserve"> HYPERLINK "http://www.who.int/mediacentre/factsheets/fs310/en/index.html" </w:instrText>
      </w:r>
      <w:r>
        <w:rPr/>
        <w:fldChar w:fldCharType="separate"/>
      </w:r>
      <w:r>
        <w:rPr>
          <w:rStyle w:val="style85"/>
          <w:rFonts w:ascii="Arial" w:cs="Arial" w:hAnsi="Arial"/>
          <w:sz w:val="24"/>
          <w:szCs w:val="24"/>
          <w:lang w:val="en-US" w:eastAsia="es-ES"/>
        </w:rPr>
        <w:t>http://www.who.int/mediacentre/factsheets/fs310/en/index.html</w:t>
      </w:r>
      <w:r>
        <w:rPr/>
        <w:fldChar w:fldCharType="end"/>
      </w:r>
      <w:r>
        <w:rPr>
          <w:rFonts w:ascii="Arial" w:cs="Arial" w:hAnsi="Arial"/>
          <w:sz w:val="24"/>
          <w:szCs w:val="24"/>
          <w:lang w:val="en-US" w:eastAsia="es-ES"/>
        </w:rPr>
        <w:t xml:space="preserve">). </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 xml:space="preserve">Wunderink RG, Waterer GW. Community- Acquired Pneumonia. </w:t>
      </w:r>
      <w:r>
        <w:rPr>
          <w:rFonts w:ascii="Arial" w:cs="Arial" w:hAnsi="Arial"/>
          <w:sz w:val="24"/>
          <w:szCs w:val="24"/>
          <w:lang w:eastAsia="es-ES"/>
        </w:rPr>
        <w:t>N Engl J Med 2015; 370: 543-51.</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 xml:space="preserve">OMS. Las 10 principales causas de defunción [Internet]. Génova: OMS; 2020. [citado 12 Ene 2022]. Disponible en: </w:t>
      </w:r>
      <w:r>
        <w:rPr/>
        <w:fldChar w:fldCharType="begin"/>
      </w:r>
      <w:r>
        <w:instrText xml:space="preserve"> HYPERLINK "https://www.who.int/es/news-room/fact-sheets/detail/the-top-10-causes-of-death" </w:instrText>
      </w:r>
      <w:r>
        <w:rPr/>
        <w:fldChar w:fldCharType="separate"/>
      </w:r>
      <w:r>
        <w:rPr>
          <w:rStyle w:val="style85"/>
          <w:rFonts w:ascii="Arial" w:cs="Arial" w:hAnsi="Arial"/>
          <w:sz w:val="24"/>
          <w:szCs w:val="24"/>
          <w:lang w:eastAsia="es-ES"/>
        </w:rPr>
        <w:t>https://www.who.int/es/news-room/fact-sheets/detail/the-top-10-causes-of-death</w:t>
      </w:r>
      <w:r>
        <w:rPr/>
        <w:fldChar w:fldCharType="end"/>
      </w:r>
      <w:r>
        <w:rPr>
          <w:rFonts w:ascii="Arial" w:cs="Arial" w:hAnsi="Arial"/>
          <w:sz w:val="24"/>
          <w:szCs w:val="24"/>
          <w:lang w:eastAsia="es-ES"/>
        </w:rPr>
        <w:t xml:space="preserve">. </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De Miguel Díez J, Álvarez-Sala JL. Factores pronósticos en la neumonía adquirida en la comunidad. An Med Interna (Madrid). 2014; 24: 465-6.</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 xml:space="preserve">López J, Tierra D, Sánchez M, Arrobo L, Hidalgo J, Freire C. Neumonía adquirida en la comunidad y principales métodos de predicción de severidad. Rev Latinoamericana de Hipertensión. 2018; 13(2). Disponible en: </w:t>
      </w:r>
      <w:r>
        <w:rPr/>
        <w:fldChar w:fldCharType="begin"/>
      </w:r>
      <w:r>
        <w:instrText xml:space="preserve"> HYPERLINK "http://saber.ucv.ve/ojs/index.php/rev_lh/article/view/15265" </w:instrText>
      </w:r>
      <w:r>
        <w:rPr/>
        <w:fldChar w:fldCharType="separate"/>
      </w:r>
      <w:r>
        <w:rPr>
          <w:rStyle w:val="style85"/>
          <w:rFonts w:ascii="Arial" w:cs="Arial" w:hAnsi="Arial"/>
          <w:sz w:val="24"/>
          <w:szCs w:val="24"/>
          <w:lang w:eastAsia="es-ES"/>
        </w:rPr>
        <w:t>http://saber.ucv.ve/ojs/index.php/rev_lh/article/view/15265</w:t>
      </w:r>
      <w:r>
        <w:rPr/>
        <w:fldChar w:fldCharType="end"/>
      </w:r>
      <w:r>
        <w:rPr>
          <w:rFonts w:ascii="Arial" w:cs="Arial" w:hAnsi="Arial"/>
          <w:sz w:val="24"/>
          <w:szCs w:val="24"/>
          <w:lang w:eastAsia="es-ES"/>
        </w:rPr>
        <w:t>.</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Saldías F, Díaz O. Índices predictores de eventos adversos en el adulto inmunocompetente hospitalizado por neumonía neumocóccica adquirida en la comunidad. Rev Chil Infect. 2014; 28(4):303-9.</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 xml:space="preserve">Dirección de Vigilancia epidemiológica. DEAE-. MSDS. Venezuela 1998-2006. [citado 10 feb 2015]. Disponible en:http://www.msds.gov.ve </w:t>
      </w:r>
    </w:p>
    <w:p>
      <w:pPr>
        <w:pStyle w:val="style179"/>
        <w:numPr>
          <w:ilvl w:val="0"/>
          <w:numId w:val="8"/>
        </w:numPr>
        <w:autoSpaceDE w:val="false"/>
        <w:autoSpaceDN w:val="false"/>
        <w:adjustRightInd w:val="false"/>
        <w:spacing w:after="0" w:lineRule="auto" w:line="360"/>
        <w:jc w:val="both"/>
        <w:rPr>
          <w:rFonts w:ascii="Arial" w:cs="Arial" w:hAnsi="Arial"/>
          <w:sz w:val="24"/>
          <w:szCs w:val="24"/>
          <w:lang w:val="en-US" w:eastAsia="es-ES"/>
        </w:rPr>
      </w:pPr>
      <w:r>
        <w:rPr>
          <w:rFonts w:ascii="Arial" w:cs="Arial" w:hAnsi="Arial"/>
          <w:sz w:val="24"/>
          <w:szCs w:val="24"/>
          <w:lang w:val="en-US" w:eastAsia="es-ES"/>
        </w:rPr>
        <w:t>Butt S, Swiatlo E. Treatment of community-acquired pneumonia in an ambulatory setting. Am J Med. 2014; 124: 297-300.</w:t>
      </w:r>
    </w:p>
    <w:p>
      <w:pPr>
        <w:pStyle w:val="style179"/>
        <w:numPr>
          <w:ilvl w:val="0"/>
          <w:numId w:val="8"/>
        </w:numPr>
        <w:autoSpaceDE w:val="false"/>
        <w:autoSpaceDN w:val="false"/>
        <w:adjustRightInd w:val="false"/>
        <w:spacing w:after="0" w:lineRule="auto" w:line="360"/>
        <w:jc w:val="both"/>
        <w:rPr>
          <w:rFonts w:ascii="Arial" w:cs="Arial" w:hAnsi="Arial"/>
          <w:sz w:val="24"/>
          <w:szCs w:val="24"/>
          <w:lang w:val="en-US" w:eastAsia="es-ES"/>
        </w:rPr>
      </w:pPr>
      <w:r>
        <w:rPr>
          <w:rFonts w:ascii="Arial" w:cs="Arial" w:hAnsi="Arial"/>
          <w:sz w:val="24"/>
          <w:szCs w:val="24"/>
          <w:lang w:val="en-US" w:eastAsia="es-ES"/>
        </w:rPr>
        <w:t>Griffin MR, Zhu Y, Moore MR, Whitney CG, Grijalva CG. U.S. hospitalizations for pneumonia after a decade of pneumococcal vaccination. N Engl J Med 2013; 369:155-63.</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 xml:space="preserve">Bertsias A, Tsiligianni IG, Duijker G, Siafakas N, Lionis C. Studying the burden of community-acquired pneumonia in adults aged </w:t>
      </w:r>
      <w:r>
        <w:rPr>
          <w:rFonts w:ascii="Cambria Math" w:cs="Cambria Math" w:hAnsi="Cambria Math"/>
          <w:sz w:val="24"/>
          <w:szCs w:val="24"/>
          <w:lang w:eastAsia="es-ES"/>
        </w:rPr>
        <w:t>⩾</w:t>
      </w:r>
      <w:r>
        <w:rPr>
          <w:rFonts w:ascii="Arial" w:cs="Arial" w:hAnsi="Arial"/>
          <w:sz w:val="24"/>
          <w:szCs w:val="24"/>
          <w:lang w:val="en-US" w:eastAsia="es-ES"/>
        </w:rPr>
        <w:t xml:space="preserve">50 years in primary health care: an observational study in rural Crete, Greece. </w:t>
      </w:r>
      <w:r>
        <w:rPr>
          <w:rFonts w:ascii="Arial" w:cs="Arial" w:hAnsi="Arial"/>
          <w:sz w:val="24"/>
          <w:szCs w:val="24"/>
          <w:lang w:eastAsia="es-ES"/>
        </w:rPr>
        <w:t>NPJ Prim Care Respir Med. 26 de junio de 2016; 24: 14017.</w:t>
      </w:r>
    </w:p>
    <w:p>
      <w:pPr>
        <w:pStyle w:val="style179"/>
        <w:numPr>
          <w:ilvl w:val="0"/>
          <w:numId w:val="8"/>
        </w:numPr>
        <w:spacing w:after="0" w:lineRule="auto" w:line="360"/>
        <w:jc w:val="both"/>
        <w:rPr>
          <w:rFonts w:ascii="Arial" w:cs="Arial" w:eastAsia="Times New Roman" w:hAnsi="Arial"/>
          <w:sz w:val="24"/>
          <w:szCs w:val="24"/>
          <w:lang w:val="en-US" w:eastAsia="es-ES"/>
        </w:rPr>
      </w:pPr>
      <w:r>
        <w:rPr>
          <w:rFonts w:ascii="Arial" w:cs="Arial" w:eastAsia="Times New Roman" w:hAnsi="Arial"/>
          <w:sz w:val="24"/>
          <w:szCs w:val="24"/>
          <w:lang w:val="en-US" w:eastAsia="es-ES"/>
        </w:rPr>
        <w:t>Lloyd M, Callander E, Karahalios A, Desmond L, Karunajeewa H. Patient-reported outcome measures in community-acquired pneumonia: a systematic review of application and content validity. BMJ Open Respir Res. 2019 Jun 2;6(1):e000398. doi: 10.1136/bmjresp-2018-000398. PMID: 31258915; PMCID: PMC6561384.</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rPr>
        <w:t>Herrera-Bandek</w:t>
      </w:r>
      <w:r>
        <w:rPr>
          <w:rFonts w:ascii="Arial" w:cs="Arial" w:hAnsi="Arial"/>
          <w:sz w:val="24"/>
          <w:szCs w:val="24"/>
        </w:rPr>
        <w:t xml:space="preserve"> </w:t>
      </w:r>
      <w:r>
        <w:rPr>
          <w:rFonts w:ascii="Arial" w:cs="Arial" w:hAnsi="Arial"/>
          <w:sz w:val="24"/>
          <w:szCs w:val="24"/>
        </w:rPr>
        <w:t>M, Obando-Estrada</w:t>
      </w:r>
      <w:r>
        <w:rPr>
          <w:rFonts w:ascii="Arial" w:cs="Arial" w:hAnsi="Arial"/>
          <w:sz w:val="24"/>
          <w:szCs w:val="24"/>
        </w:rPr>
        <w:t xml:space="preserve"> </w:t>
      </w:r>
      <w:r>
        <w:rPr>
          <w:rFonts w:ascii="Arial" w:cs="Arial" w:hAnsi="Arial"/>
          <w:sz w:val="24"/>
          <w:szCs w:val="24"/>
        </w:rPr>
        <w:t>S, Porras-Umaña</w:t>
      </w:r>
      <w:r>
        <w:rPr>
          <w:rFonts w:ascii="Arial" w:cs="Arial" w:hAnsi="Arial"/>
          <w:sz w:val="24"/>
          <w:szCs w:val="24"/>
        </w:rPr>
        <w:t xml:space="preserve"> </w:t>
      </w:r>
      <w:r>
        <w:rPr>
          <w:rFonts w:ascii="Arial" w:cs="Arial" w:hAnsi="Arial"/>
          <w:sz w:val="24"/>
          <w:szCs w:val="24"/>
        </w:rPr>
        <w:t xml:space="preserve">T. Neumonía adquirida en la comunidad: diagnóstico y tratamiento. </w:t>
      </w:r>
      <w:r>
        <w:rPr>
          <w:rFonts w:ascii="Arial" w:cs="Arial" w:hAnsi="Arial"/>
          <w:iCs/>
          <w:sz w:val="24"/>
          <w:szCs w:val="24"/>
        </w:rPr>
        <w:t>Acta Académica. 2020</w:t>
      </w:r>
      <w:r>
        <w:rPr>
          <w:rFonts w:ascii="Arial" w:cs="Arial" w:hAnsi="Arial"/>
          <w:sz w:val="24"/>
          <w:szCs w:val="24"/>
        </w:rPr>
        <w:t>;</w:t>
      </w:r>
      <w:r>
        <w:rPr>
          <w:rFonts w:ascii="Arial" w:cs="Arial" w:hAnsi="Arial"/>
          <w:iCs/>
          <w:sz w:val="24"/>
          <w:szCs w:val="24"/>
        </w:rPr>
        <w:t>70</w:t>
      </w:r>
      <w:r>
        <w:rPr>
          <w:rFonts w:ascii="Arial" w:cs="Arial" w:hAnsi="Arial"/>
          <w:iCs/>
          <w:sz w:val="24"/>
          <w:szCs w:val="24"/>
        </w:rPr>
        <w:t>:</w:t>
      </w:r>
      <w:r>
        <w:rPr>
          <w:rFonts w:ascii="Arial" w:cs="Arial" w:hAnsi="Arial"/>
          <w:sz w:val="24"/>
          <w:szCs w:val="24"/>
        </w:rPr>
        <w:t>49</w:t>
      </w:r>
      <w:r>
        <w:rPr>
          <w:rFonts w:ascii="Arial" w:cs="Arial" w:hAnsi="Arial"/>
          <w:sz w:val="24"/>
          <w:szCs w:val="24"/>
        </w:rPr>
        <w:t xml:space="preserve">-166. Recuperado a partir de </w:t>
      </w:r>
      <w:r>
        <w:rPr/>
        <w:fldChar w:fldCharType="begin"/>
      </w:r>
      <w:r>
        <w:instrText xml:space="preserve"> HYPERLINK "http://revista.uaca.ac.cr/index.php/actas/article/view/134" </w:instrText>
      </w:r>
      <w:r>
        <w:rPr/>
        <w:fldChar w:fldCharType="separate"/>
      </w:r>
      <w:r>
        <w:rPr>
          <w:rStyle w:val="style85"/>
          <w:rFonts w:ascii="Arial" w:cs="Arial" w:hAnsi="Arial"/>
          <w:sz w:val="24"/>
          <w:szCs w:val="24"/>
        </w:rPr>
        <w:t>http://revista.uaca.ac.cr/index.php/actas/article/view/134</w:t>
      </w:r>
      <w:r>
        <w:rPr/>
        <w:fldChar w:fldCharType="end"/>
      </w:r>
      <w:r>
        <w:rPr>
          <w:rFonts w:ascii="Arial" w:cs="Arial" w:hAnsi="Arial"/>
          <w:sz w:val="24"/>
          <w:szCs w:val="24"/>
        </w:rPr>
        <w:t xml:space="preserve">. </w:t>
      </w:r>
      <w:r>
        <w:rPr>
          <w:rFonts w:ascii="Arial" w:cs="Arial" w:hAnsi="Arial"/>
          <w:sz w:val="24"/>
          <w:szCs w:val="24"/>
        </w:rPr>
        <w:t xml:space="preserve">  </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val="en-US" w:eastAsia="es-ES"/>
        </w:rPr>
        <w:t xml:space="preserve">Daniel P, Bewick T, McKeever TM, Roberts M, Ashton D, Smith D, Latip L, Lim WS. Healthcare reconsultation in working-age adults following hospitalisation for community-acquired pneumonia. </w:t>
      </w:r>
      <w:r>
        <w:rPr>
          <w:rFonts w:ascii="Arial" w:cs="Arial" w:eastAsia="Times New Roman" w:hAnsi="Arial"/>
          <w:sz w:val="24"/>
          <w:szCs w:val="24"/>
          <w:lang w:eastAsia="es-ES"/>
        </w:rPr>
        <w:t>Clin Med (Lond). 2018 Feb;18(1):41-46. doi: 10.7861/clinmedicine.18-1-41. PMID: 29436438; PMCID: PMC6330906.</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Torres A, Niederman MS, Chastre J, Ewig S, Fernandez-Vandellos P, Hanberger H, et al. International ERS/ESICM/ESCMID/ALAT guidelines for the management of hospital-acquired pneumonia and ventilator associated pneumonia: Guidelines for the management of hospital</w:t>
      </w:r>
      <w:r>
        <w:rPr>
          <w:rFonts w:ascii="Arial" w:cs="Arial" w:hAnsi="Arial"/>
          <w:sz w:val="24"/>
          <w:szCs w:val="24"/>
          <w:lang w:val="en-US" w:eastAsia="es-ES"/>
        </w:rPr>
        <w:t xml:space="preserve"> </w:t>
      </w:r>
      <w:r>
        <w:rPr>
          <w:rFonts w:ascii="Arial" w:cs="Arial" w:hAnsi="Arial"/>
          <w:sz w:val="24"/>
          <w:szCs w:val="24"/>
          <w:lang w:val="en-US" w:eastAsia="es-ES"/>
        </w:rPr>
        <w:t xml:space="preserve">acquired pneumonia (HAP)/ventilator-associated pneumonia (VAP) of the European Respiratory Society (ERS), European Society of Intensive Care Medicine (ESICM), European Society of Clinical Microbiology and Infectious Diseases (ESCMID) and Asociacion Latinoamericana del Tórax (ALAT). </w:t>
      </w:r>
      <w:r>
        <w:rPr>
          <w:rFonts w:ascii="Arial" w:cs="Arial" w:hAnsi="Arial"/>
          <w:sz w:val="24"/>
          <w:szCs w:val="24"/>
          <w:lang w:eastAsia="es-ES"/>
        </w:rPr>
        <w:t>Eur Respir J. 1 de septiembre de 2017; 50(3):1700582.</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Carbó M, Fresco L, Osorio G, Monclús E, Ortega M. Factores predictivos de mortalidad en los pacientes con sepsis y un valor del indicador “Quick Sequential Organ Failure Assessment‟ (qSOFA) de 2 o 3 puntos atendidos en un servicio de urgencias. Emergencias. 2020; 32:169-76. PMID: 32395924.</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 xml:space="preserve">Shehata SM, Sileem AE, Shahien NE. Prognostic values of pneumonia severity  index,  CURB-65  and  expanded  CURB-65  scores  in communityacquired pneumonia in Zagazig University Hospitals. </w:t>
      </w:r>
      <w:r>
        <w:rPr>
          <w:rFonts w:ascii="Arial" w:cs="Arial" w:hAnsi="Arial"/>
          <w:sz w:val="24"/>
          <w:szCs w:val="24"/>
          <w:lang w:eastAsia="es-ES"/>
        </w:rPr>
        <w:t xml:space="preserve">Egypt J  Chest Dis Tuberc. 1 de julio de 2017; 66(3):549-55. </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 xml:space="preserve">Ramirez JA, Wiemken TL, Peyrani P. Adults hospitalized with pneumonia in the United States: incidence, epidemiology, and mortality. </w:t>
      </w:r>
      <w:r>
        <w:rPr>
          <w:rFonts w:ascii="Arial" w:cs="Arial" w:hAnsi="Arial"/>
          <w:sz w:val="24"/>
          <w:szCs w:val="24"/>
          <w:lang w:eastAsia="es-ES"/>
        </w:rPr>
        <w:t>Clin Infect Dis. 2017;65:1806-1812.</w:t>
      </w:r>
    </w:p>
    <w:p>
      <w:pPr>
        <w:pStyle w:val="style179"/>
        <w:numPr>
          <w:ilvl w:val="0"/>
          <w:numId w:val="8"/>
        </w:numPr>
        <w:autoSpaceDE w:val="false"/>
        <w:autoSpaceDN w:val="false"/>
        <w:adjustRightInd w:val="false"/>
        <w:spacing w:after="0" w:lineRule="auto" w:line="360"/>
        <w:jc w:val="both"/>
        <w:rPr>
          <w:rFonts w:ascii="Arial" w:cs="Arial" w:hAnsi="Arial"/>
          <w:sz w:val="24"/>
          <w:szCs w:val="24"/>
          <w:lang w:val="en-US" w:eastAsia="es-ES"/>
        </w:rPr>
      </w:pPr>
      <w:r>
        <w:rPr>
          <w:rFonts w:ascii="Arial" w:cs="Arial" w:hAnsi="Arial"/>
          <w:sz w:val="24"/>
          <w:szCs w:val="24"/>
          <w:lang w:val="en-US" w:eastAsia="es-ES"/>
        </w:rPr>
        <w:t xml:space="preserve">D’Amato M, Rea G, Carnevale V, et al. Assessment of thoracic ultrasound in complementary diagnosis and in follow-up of community-acquired pneumonia (CAP). </w:t>
      </w:r>
      <w:r>
        <w:rPr>
          <w:rFonts w:ascii="Arial" w:cs="Arial" w:hAnsi="Arial"/>
          <w:sz w:val="24"/>
          <w:szCs w:val="24"/>
          <w:lang w:val="en-US" w:eastAsia="es-ES"/>
        </w:rPr>
        <w:t>BMC Med Imaging. 2017;17:1-8.</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 xml:space="preserve">Schuetz P, Wirz Y, Mueller B. Procalcitonin testing to guide antibiotic therapy in acute upper and lower respiratory tract infections. </w:t>
      </w:r>
      <w:r>
        <w:rPr>
          <w:rFonts w:ascii="Arial" w:cs="Arial" w:hAnsi="Arial"/>
          <w:sz w:val="24"/>
          <w:szCs w:val="24"/>
          <w:lang w:eastAsia="es-ES"/>
        </w:rPr>
        <w:t>JAMA. 2018;319:925-926.</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rPr>
        <w:t xml:space="preserve">Pick HJ, Bolton CE, Lim WS, McKeever TM. Patient-reported outcome measures in the recovery of adults hospitalised with community-acquired pneumonia: a systematic review. </w:t>
      </w:r>
      <w:r>
        <w:rPr>
          <w:rFonts w:ascii="Arial" w:cs="Arial" w:hAnsi="Arial"/>
          <w:sz w:val="24"/>
          <w:szCs w:val="24"/>
        </w:rPr>
        <w:t>Eur Respir J. 2019 Mar 18;53(3):1802165. doi: 10.1183/13993003.02165-2018. PMID: 30635298</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 xml:space="preserve">Cuba. Ministerio de Salud Pública. Anuario estadístico de salud 2020 [Internet]. La Habana: Minsap; 2021 [citado 12 Ene 2022]. Disponible en: </w:t>
      </w:r>
      <w:r>
        <w:rPr/>
        <w:fldChar w:fldCharType="begin"/>
      </w:r>
      <w:r>
        <w:instrText xml:space="preserve"> HYPERLINK "https://files.sld.cu/bvscuba/files/2021/08/Anuario-Estadístico-" </w:instrText>
      </w:r>
      <w:r>
        <w:rPr/>
        <w:fldChar w:fldCharType="separate"/>
      </w:r>
      <w:r>
        <w:rPr>
          <w:rStyle w:val="style85"/>
          <w:rFonts w:ascii="Arial" w:cs="Arial" w:hAnsi="Arial"/>
          <w:sz w:val="24"/>
          <w:szCs w:val="24"/>
          <w:lang w:eastAsia="es-ES"/>
        </w:rPr>
        <w:t>https://files.sld.cu/bvscuba/files/2021/08/Anuario-Estadístico-</w:t>
      </w:r>
      <w:r>
        <w:rPr/>
        <w:fldChar w:fldCharType="end"/>
      </w:r>
      <w:r>
        <w:rPr>
          <w:rFonts w:ascii="Arial" w:cs="Arial" w:hAnsi="Arial"/>
          <w:sz w:val="24"/>
          <w:szCs w:val="24"/>
          <w:lang w:eastAsia="es-ES"/>
        </w:rPr>
        <w:t xml:space="preserve"> Espa%25C3%25B1ol-2020-Definitivo.pdf.  </w:t>
      </w:r>
      <w:r>
        <w:rPr>
          <w:rFonts w:ascii="Arial" w:cs="Arial" w:hAnsi="Arial"/>
          <w:sz w:val="24"/>
          <w:szCs w:val="24"/>
          <w:lang w:eastAsia="es-ES"/>
        </w:rPr>
        <w:t xml:space="preserve"> </w:t>
      </w:r>
      <w:r>
        <w:rPr>
          <w:rFonts w:ascii="Arial" w:cs="Arial" w:hAnsi="Arial"/>
          <w:sz w:val="24"/>
          <w:szCs w:val="24"/>
          <w:lang w:eastAsia="es-ES"/>
        </w:rPr>
        <w:t xml:space="preserve">  </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 xml:space="preserve">Pérez-Verea L, Rodríguez-Méndez A, Caro-Rodríguez A, Olivera-Reyes Y, Fernández-Ferrer A. Neumonía adquirida en la comunidad. Revista Cubana de Medicina Intensiva y Emergencias [revista en Internet]. 2019;  18  (2)  Disponible  en: </w:t>
      </w:r>
      <w:r>
        <w:rPr/>
        <w:fldChar w:fldCharType="begin"/>
      </w:r>
      <w:r>
        <w:instrText xml:space="preserve"> HYPERLINK "http://www.revmie.sld.cu/index.php/mie/article/view/478" </w:instrText>
      </w:r>
      <w:r>
        <w:rPr/>
        <w:fldChar w:fldCharType="separate"/>
      </w:r>
      <w:r>
        <w:rPr>
          <w:rStyle w:val="style85"/>
          <w:rFonts w:ascii="Arial" w:cs="Arial" w:hAnsi="Arial"/>
          <w:sz w:val="24"/>
          <w:szCs w:val="24"/>
          <w:lang w:eastAsia="es-ES"/>
        </w:rPr>
        <w:t>http://www.revmie.sld.cu/index.php/mie/article/view/478</w:t>
      </w:r>
      <w:r>
        <w:rPr/>
        <w:fldChar w:fldCharType="end"/>
      </w:r>
      <w:r>
        <w:rPr>
          <w:rFonts w:ascii="Arial" w:cs="Arial" w:hAnsi="Arial"/>
          <w:sz w:val="24"/>
          <w:szCs w:val="24"/>
          <w:lang w:eastAsia="es-ES"/>
        </w:rPr>
        <w:t xml:space="preserve">. </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 xml:space="preserve">Alfageme I, de Lucas P, Ancochea J, Miravitlles M, Soler-Cataluña JJ, García-Río F, et al. Nuevo estudio sobre la prevalencia de la EPOC en España: resumen del protocolo EPISCAN II, 10 años después de EPISCAN. </w:t>
      </w:r>
      <w:r>
        <w:rPr>
          <w:rFonts w:ascii="Arial" w:cs="Arial" w:hAnsi="Arial"/>
          <w:sz w:val="24"/>
          <w:szCs w:val="24"/>
          <w:lang w:val="en-US" w:eastAsia="es-ES"/>
        </w:rPr>
        <w:t>Archivos de Bronconeumología. 2019;55(1):38-47</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Leey Echavarría C, Zorrilla-Riveiro J, Arnau A, Jaén-Martínez L, Lladó-Ortiz D, Gené E. Predicción de ingreso hospitalario en los pacientes con bajo nivel de prioridad de triaje atendidos en un servicio de urgencias. Emergencias. 2020; 32:395-402. PMID: 33275359.</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eastAsia="es-ES"/>
        </w:rPr>
        <w:t>Montero Pérez J, Lucena Aguilera C, González Jurado MC, Gracia Sabada MJ, Calderón de la Barca Gázquez JM, Jiménez Murillo LM. Implantación del Sistema Español de Triaje (SET) en los servicios de urgencias generales de los hospitales públicos de Andalucía (España). Emergencias. 2020; 32:314-9. PMID: 33006831.</w:t>
      </w:r>
    </w:p>
    <w:p>
      <w:pPr>
        <w:pStyle w:val="style179"/>
        <w:numPr>
          <w:ilvl w:val="0"/>
          <w:numId w:val="8"/>
        </w:numPr>
        <w:autoSpaceDE w:val="false"/>
        <w:autoSpaceDN w:val="false"/>
        <w:adjustRightInd w:val="false"/>
        <w:spacing w:after="0" w:lineRule="auto" w:line="360"/>
        <w:jc w:val="both"/>
        <w:rPr>
          <w:rFonts w:ascii="Arial" w:cs="Arial" w:hAnsi="Arial"/>
          <w:sz w:val="24"/>
          <w:szCs w:val="24"/>
          <w:lang w:val="en-US" w:eastAsia="es-ES"/>
        </w:rPr>
      </w:pPr>
      <w:r>
        <w:rPr>
          <w:rFonts w:ascii="Arial" w:cs="Arial" w:hAnsi="Arial"/>
          <w:sz w:val="24"/>
          <w:szCs w:val="24"/>
          <w:lang w:eastAsia="es-ES"/>
        </w:rPr>
        <w:t xml:space="preserve">Saldía S F, Uribe J, GaSSMann J, Canelo A, Díaz O. Predictores clínicos de eventos adversos serios en el adulto inmunocompetente hospitalizado por neumonía adquirida en la comunidad. </w:t>
      </w:r>
      <w:r>
        <w:rPr>
          <w:rFonts w:ascii="Arial" w:cs="Arial" w:hAnsi="Arial"/>
          <w:sz w:val="24"/>
          <w:szCs w:val="24"/>
          <w:lang w:val="en-US" w:eastAsia="es-ES"/>
        </w:rPr>
        <w:t>Rev Chil Enferm Respir 2017; 33: 99-12.</w:t>
      </w:r>
    </w:p>
    <w:p>
      <w:pPr>
        <w:pStyle w:val="style179"/>
        <w:numPr>
          <w:ilvl w:val="0"/>
          <w:numId w:val="8"/>
        </w:numPr>
        <w:autoSpaceDE w:val="false"/>
        <w:autoSpaceDN w:val="false"/>
        <w:adjustRightInd w:val="false"/>
        <w:spacing w:after="0" w:lineRule="auto" w:line="360"/>
        <w:jc w:val="both"/>
        <w:rPr>
          <w:rFonts w:ascii="Arial" w:cs="Arial" w:hAnsi="Arial"/>
          <w:sz w:val="24"/>
          <w:szCs w:val="24"/>
          <w:lang w:eastAsia="es-ES"/>
        </w:rPr>
      </w:pPr>
      <w:r>
        <w:rPr>
          <w:rFonts w:ascii="Arial" w:cs="Arial" w:hAnsi="Arial"/>
          <w:sz w:val="24"/>
          <w:szCs w:val="24"/>
          <w:lang w:val="en-US" w:eastAsia="es-ES"/>
        </w:rPr>
        <w:t>Shehata SM, Sileem AE, Shahien NE. Prognostic values of pneumonia severity index, CURB-65 and expanded CURB-65 scores in community-</w:t>
      </w:r>
      <w:r>
        <w:rPr>
          <w:rFonts w:ascii="Arial" w:cs="Arial" w:hAnsi="Arial"/>
          <w:sz w:val="24"/>
          <w:szCs w:val="24"/>
          <w:lang w:val="en-US" w:eastAsia="es-ES"/>
        </w:rPr>
        <w:t xml:space="preserve"> </w:t>
      </w:r>
      <w:r>
        <w:rPr>
          <w:rFonts w:ascii="Arial" w:cs="Arial" w:hAnsi="Arial"/>
          <w:sz w:val="24"/>
          <w:szCs w:val="24"/>
          <w:lang w:val="en-US" w:eastAsia="es-ES"/>
        </w:rPr>
        <w:t xml:space="preserve">acquired pneumonia in Zagazig University Hospitals. </w:t>
      </w:r>
      <w:r>
        <w:rPr>
          <w:rFonts w:ascii="Arial" w:cs="Arial" w:hAnsi="Arial"/>
          <w:sz w:val="24"/>
          <w:szCs w:val="24"/>
          <w:lang w:eastAsia="es-ES"/>
        </w:rPr>
        <w:t>Egypt J Chest Dis Tuberc. 2017; 66(3):549-55.</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lang w:eastAsia="es-ES"/>
        </w:rPr>
        <w:t xml:space="preserve">García-Álvarez P, García-Albero Á, Santana-Álvarez J. Modelo matemático predictivo de mortalidad por neumonía adquirida en la comunidad. Archivo  Médico Camagüey [Internet]. 2018; 22 (2): [aprox. 10 p.]. Disponible en:  </w:t>
      </w:r>
      <w:r>
        <w:rPr/>
        <w:fldChar w:fldCharType="begin"/>
      </w:r>
      <w:r>
        <w:instrText xml:space="preserve"> HYPERLINK "http://revistaamc.sld.cu/index.php/amc/article/view/5446" </w:instrText>
      </w:r>
      <w:r>
        <w:rPr/>
        <w:fldChar w:fldCharType="separate"/>
      </w:r>
      <w:r>
        <w:rPr>
          <w:rStyle w:val="style85"/>
          <w:rFonts w:ascii="Arial" w:cs="Arial" w:hAnsi="Arial"/>
          <w:sz w:val="24"/>
          <w:szCs w:val="24"/>
          <w:lang w:eastAsia="es-ES"/>
        </w:rPr>
        <w:t>http://revistaamc.sld.cu/index.php/amc/article/view/5446</w:t>
      </w:r>
      <w:r>
        <w:rPr/>
        <w:fldChar w:fldCharType="end"/>
      </w:r>
      <w:r>
        <w:rPr>
          <w:rFonts w:ascii="Arial" w:cs="Arial" w:hAnsi="Arial"/>
          <w:sz w:val="24"/>
          <w:szCs w:val="24"/>
          <w:lang w:eastAsia="es-ES"/>
        </w:rPr>
        <w:t xml:space="preserve">. </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rPr>
        <w:t>López-Castro JH, Martínez-González C, Rego-Hernández J</w:t>
      </w:r>
      <w:r>
        <w:rPr>
          <w:rFonts w:ascii="Arial" w:cs="Arial" w:hAnsi="Arial"/>
          <w:sz w:val="24"/>
          <w:szCs w:val="24"/>
        </w:rPr>
        <w:t>D</w:t>
      </w:r>
      <w:r>
        <w:rPr>
          <w:rFonts w:ascii="Arial" w:cs="Arial" w:hAnsi="Arial"/>
          <w:sz w:val="24"/>
          <w:szCs w:val="24"/>
        </w:rPr>
        <w:t xml:space="preserve">, Piñera-Castro HJ, Saborit-Rodríguez A. Causas asociadas a mortalidad por </w:t>
      </w:r>
      <w:r>
        <w:rPr>
          <w:rFonts w:ascii="Arial" w:cs="Arial" w:hAnsi="Arial"/>
          <w:sz w:val="24"/>
          <w:szCs w:val="24"/>
        </w:rPr>
        <w:t xml:space="preserve">EPOC </w:t>
      </w:r>
      <w:r>
        <w:rPr>
          <w:rFonts w:ascii="Arial" w:cs="Arial" w:hAnsi="Arial"/>
          <w:sz w:val="24"/>
          <w:szCs w:val="24"/>
        </w:rPr>
        <w:t xml:space="preserve">en el Hospital Clínico Quirúrgico Docente “Dr. Salvador Allende”. Rev Inf Cient [Internet]. 2022 [citado 10 Oct 2022];101(2). Disponible en: </w:t>
      </w:r>
      <w:r>
        <w:rPr/>
        <w:fldChar w:fldCharType="begin"/>
      </w:r>
      <w:r>
        <w:instrText xml:space="preserve"> HYPERLINK "http://www.revinfcientifica.sld.cu/index.php/ric/article/view/3645" </w:instrText>
      </w:r>
      <w:r>
        <w:rPr/>
        <w:fldChar w:fldCharType="separate"/>
      </w:r>
      <w:r>
        <w:rPr>
          <w:rStyle w:val="style85"/>
          <w:rFonts w:ascii="Arial" w:cs="Arial" w:hAnsi="Arial"/>
          <w:sz w:val="24"/>
          <w:szCs w:val="24"/>
        </w:rPr>
        <w:t>http://www.revinfcientifica.sld.cu/index.php/ric/article/view/3645</w:t>
      </w:r>
      <w:r>
        <w:rPr/>
        <w:fldChar w:fldCharType="end"/>
      </w:r>
      <w:r>
        <w:rPr>
          <w:rFonts w:ascii="Arial" w:cs="Arial" w:hAnsi="Arial"/>
          <w:sz w:val="24"/>
          <w:szCs w:val="24"/>
        </w:rPr>
        <w:t xml:space="preserve"> </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rPr>
        <w:t xml:space="preserve">Vázquez Rosa Ana, Tarraga Marcos Almudena, Tarraga Marcos Loreto, Romero de Ávila Mario, Tárraga López Pedro-J. Enfermedad Pulmonar Obstructiva Crónica y comorbilidad. JONNPR  [Internet]. 2020  [citado  2022  Oct  10] ;  5( 10 ): 1195-1220. Disponible en: http://scielo.isciii.es/scielo.php?script=sci_arttext&amp;pid=S2529-850X2020001000010&amp;lng=es.  Epub 28-Mar-2022.   </w:t>
      </w:r>
      <w:r>
        <w:rPr/>
        <w:fldChar w:fldCharType="begin"/>
      </w:r>
      <w:r>
        <w:instrText xml:space="preserve"> HYPERLINK "https://dx.doi.org/10.19230/jonnpr.3863" </w:instrText>
      </w:r>
      <w:r>
        <w:rPr/>
        <w:fldChar w:fldCharType="separate"/>
      </w:r>
      <w:r>
        <w:rPr>
          <w:rStyle w:val="style85"/>
          <w:rFonts w:ascii="Arial" w:cs="Arial" w:hAnsi="Arial"/>
          <w:sz w:val="24"/>
          <w:szCs w:val="24"/>
        </w:rPr>
        <w:t>https://dx.doi.org/10.19230/jonnpr.3863</w:t>
      </w:r>
      <w:r>
        <w:rPr/>
        <w:fldChar w:fldCharType="end"/>
      </w:r>
      <w:r>
        <w:rPr>
          <w:rFonts w:ascii="Arial" w:cs="Arial" w:hAnsi="Arial"/>
          <w:sz w:val="24"/>
          <w:szCs w:val="24"/>
        </w:rPr>
        <w:t>.</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rPr>
        <w:t>Vedia C, Plana-Ripoll O, Pera H, Morros R, Almeda J, Amado E. Neumonías adquiridas en la comunidad en pacientes con enfermedad pulmonar obstructiva crónica tratados con corticoides inhalados u otros br</w:t>
      </w:r>
      <w:r>
        <w:rPr>
          <w:rFonts w:ascii="Arial" w:cs="Arial" w:hAnsi="Arial"/>
          <w:sz w:val="24"/>
          <w:szCs w:val="24"/>
        </w:rPr>
        <w:t>oncodilatadores (Estudio PNEUMO</w:t>
      </w:r>
      <w:r>
        <w:rPr>
          <w:rFonts w:ascii="Arial" w:cs="Arial" w:hAnsi="Arial"/>
          <w:sz w:val="24"/>
          <w:szCs w:val="24"/>
        </w:rPr>
        <w:t>CORT)</w:t>
      </w:r>
      <w:r>
        <w:rPr>
          <w:rFonts w:ascii="Arial" w:cs="Arial" w:hAnsi="Arial"/>
          <w:sz w:val="24"/>
          <w:szCs w:val="24"/>
        </w:rPr>
        <w:t xml:space="preserve">. </w:t>
      </w:r>
      <w:r>
        <w:rPr>
          <w:rFonts w:ascii="Arial" w:cs="Arial" w:hAnsi="Arial"/>
          <w:sz w:val="24"/>
          <w:szCs w:val="24"/>
        </w:rPr>
        <w:t>Aten Primaria. 2019;51(6):333</w:t>
      </w:r>
      <w:r>
        <w:rPr>
          <w:rFonts w:ascii="Arial" w:cs="Arial" w:hAnsi="Arial"/>
          <w:sz w:val="24"/>
          <w:szCs w:val="24"/>
        </w:rPr>
        <w:t>-</w:t>
      </w:r>
      <w:r>
        <w:rPr>
          <w:rFonts w:ascii="Arial" w:cs="Arial" w:hAnsi="Arial"/>
          <w:sz w:val="24"/>
          <w:szCs w:val="24"/>
        </w:rPr>
        <w:t>340</w:t>
      </w:r>
      <w:r>
        <w:rPr>
          <w:rFonts w:ascii="Arial" w:cs="Arial" w:hAnsi="Arial"/>
          <w:sz w:val="24"/>
          <w:szCs w:val="24"/>
        </w:rPr>
        <w:t>.</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rPr>
        <w:t xml:space="preserve">Rodríguez Concepción JP, Rodríguez Corvea L, Condes Fernández BD,  Orellana Meneses GD. Predictores de mortalidad en pacientes con exacerbación de enfermedad pulmonar obstructiva crónica. Gac. Méd. Espirit. 2022;24(2). </w:t>
      </w:r>
    </w:p>
    <w:p>
      <w:pPr>
        <w:pStyle w:val="style179"/>
        <w:numPr>
          <w:ilvl w:val="0"/>
          <w:numId w:val="8"/>
        </w:numPr>
        <w:spacing w:after="160" w:lineRule="auto" w:line="360"/>
        <w:jc w:val="both"/>
        <w:rPr>
          <w:rFonts w:ascii="Arial" w:cs="Arial" w:hAnsi="Arial"/>
          <w:sz w:val="24"/>
          <w:szCs w:val="24"/>
          <w:lang w:val="en-US"/>
        </w:rPr>
      </w:pPr>
      <w:r>
        <w:rPr>
          <w:rFonts w:ascii="Arial" w:cs="Arial" w:hAnsi="Arial"/>
          <w:sz w:val="24"/>
          <w:szCs w:val="24"/>
          <w:lang w:val="en-US"/>
        </w:rPr>
        <w:t xml:space="preserve">Global initiative for chronic obstructive lung disease. Global strategy for the diagnosis, management, and prevention of chronic obstructive lung disease. Report 2022 [Internet] [cited 2022 May 10]. Disponible en: </w:t>
      </w:r>
      <w:r>
        <w:rPr/>
        <w:fldChar w:fldCharType="begin"/>
      </w:r>
      <w:r>
        <w:instrText xml:space="preserve"> HYPERLINK "https://goldcopd.org/wp-content/uploads/2021/12/GOLD-REPORT-2022-v1.1-22Nov2021_WMV.pdf" </w:instrText>
      </w:r>
      <w:r>
        <w:rPr/>
        <w:fldChar w:fldCharType="separate"/>
      </w:r>
      <w:r>
        <w:rPr>
          <w:rStyle w:val="style85"/>
          <w:rFonts w:ascii="Arial" w:cs="Arial" w:hAnsi="Arial"/>
          <w:sz w:val="24"/>
          <w:szCs w:val="24"/>
          <w:lang w:val="en-US"/>
        </w:rPr>
        <w:t>https://goldcopd.org/wp-content/uploads/2021/12/GOLD-REPORT-2022-v1.1-22Nov2021_WMV.pdf</w:t>
      </w:r>
      <w:r>
        <w:rPr/>
        <w:fldChar w:fldCharType="end"/>
      </w:r>
      <w:r>
        <w:rPr>
          <w:rFonts w:ascii="Arial" w:cs="Arial" w:hAnsi="Arial"/>
          <w:sz w:val="24"/>
          <w:szCs w:val="24"/>
          <w:lang w:val="en-US"/>
        </w:rPr>
        <w:t>.</w:t>
      </w:r>
    </w:p>
    <w:p>
      <w:pPr>
        <w:pStyle w:val="style179"/>
        <w:numPr>
          <w:ilvl w:val="0"/>
          <w:numId w:val="8"/>
        </w:numPr>
        <w:spacing w:after="160" w:lineRule="auto" w:line="360"/>
        <w:jc w:val="both"/>
        <w:rPr>
          <w:rFonts w:ascii="Arial" w:cs="Arial" w:hAnsi="Arial"/>
          <w:sz w:val="24"/>
          <w:szCs w:val="24"/>
        </w:rPr>
      </w:pPr>
      <w:r>
        <w:rPr>
          <w:rFonts w:ascii="Arial" w:cs="Arial" w:hAnsi="Arial"/>
          <w:sz w:val="24"/>
          <w:szCs w:val="24"/>
        </w:rPr>
        <w:t>Hincapié C, Ascuntar J, León A, Jaimes F. Neumonía adquirida en la comunidad: comparación de tres puntuaciones de predicción de mortalidad en el servicio de urgencias. Colomb Méd (Cali), 2021; 52(4):e2044287</w:t>
      </w:r>
      <w:r>
        <w:rPr>
          <w:rFonts w:ascii="Arial" w:cs="Arial" w:hAnsi="Arial"/>
          <w:sz w:val="24"/>
          <w:szCs w:val="24"/>
        </w:rPr>
        <w:t xml:space="preserve">. </w:t>
      </w:r>
      <w:r>
        <w:rPr/>
        <w:fldChar w:fldCharType="begin"/>
      </w:r>
      <w:r>
        <w:instrText xml:space="preserve"> HYPERLINK "http://doi.org/10.25100/cm.v52i%204.4287" </w:instrText>
      </w:r>
      <w:r>
        <w:rPr/>
        <w:fldChar w:fldCharType="separate"/>
      </w:r>
      <w:r>
        <w:rPr>
          <w:rStyle w:val="style85"/>
          <w:rFonts w:ascii="Arial" w:cs="Arial" w:hAnsi="Arial"/>
          <w:sz w:val="24"/>
          <w:szCs w:val="24"/>
        </w:rPr>
        <w:t>http://doi.org/10.25100/cm.v52i 4.4287</w:t>
      </w:r>
      <w:r>
        <w:rPr/>
        <w:fldChar w:fldCharType="end"/>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Miranda-Chaviano J, Fuentes-Morales R, Chaviano-León J, Rojas-Paz L. Factores de riesgo de mortalidad en pacientes con neumonía adquirida en la comunidad. </w:t>
      </w:r>
      <w:r>
        <w:rPr>
          <w:rStyle w:val="style87"/>
          <w:rFonts w:ascii="Arial" w:cs="Arial" w:hAnsi="Arial"/>
          <w:sz w:val="24"/>
          <w:szCs w:val="24"/>
        </w:rPr>
        <w:t>Acta Médica del Centro</w:t>
      </w:r>
      <w:r>
        <w:rPr>
          <w:rFonts w:ascii="Arial" w:cs="Arial" w:hAnsi="Arial"/>
          <w:sz w:val="24"/>
          <w:szCs w:val="24"/>
        </w:rPr>
        <w:t xml:space="preserve"> [Internet]. [citado 13 Oct 2022]; 11 (1) :[aprox. 8 p.]. Disponible en: </w:t>
      </w:r>
      <w:r>
        <w:rPr/>
        <w:fldChar w:fldCharType="begin"/>
      </w:r>
      <w:r>
        <w:instrText xml:space="preserve"> HYPERLINK "http://www.revactamedicacentro.sld.cu/index.php/amc/article/view/786" </w:instrText>
      </w:r>
      <w:r>
        <w:rPr/>
        <w:fldChar w:fldCharType="separate"/>
      </w:r>
      <w:r>
        <w:rPr>
          <w:rStyle w:val="style85"/>
          <w:rFonts w:ascii="Arial" w:cs="Arial" w:hAnsi="Arial"/>
          <w:sz w:val="24"/>
          <w:szCs w:val="24"/>
        </w:rPr>
        <w:t>http://www.revactamedicacentro.sld.cu/index.php/amc/article/view/786</w:t>
      </w:r>
      <w:r>
        <w:rPr/>
        <w:fldChar w:fldCharType="end"/>
      </w:r>
      <w:r>
        <w:rPr>
          <w:rFonts w:ascii="Arial" w:cs="Arial" w:hAnsi="Arial"/>
          <w:sz w:val="24"/>
          <w:szCs w:val="24"/>
        </w:rPr>
        <w:t>.</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Irizar Aramburu ME, Arrondo Beguiristain MA, Insausti Carretero MJ, Mujica Campos J, Etxabarri Perez P, Ganzarain Gorosabel R. Epidemiología de la neumonía adquirida en la comunidad. Aten Primaria. 2013;45(10):503-513.</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Quintero-González DC, Ocampo JM, Reyes-Ortiz CA. Factores asociados con la letalidad por neumonía en una unidad de atención del paciente geriátrico</w:t>
      </w:r>
      <w:r>
        <w:rPr>
          <w:rFonts w:ascii="Arial" w:cs="Arial" w:hAnsi="Arial"/>
          <w:sz w:val="24"/>
          <w:szCs w:val="24"/>
        </w:rPr>
        <w:t xml:space="preserve"> </w:t>
      </w:r>
      <w:r>
        <w:rPr>
          <w:rFonts w:ascii="Arial" w:cs="Arial" w:hAnsi="Arial"/>
          <w:sz w:val="24"/>
          <w:szCs w:val="24"/>
        </w:rPr>
        <w:t xml:space="preserve">agudo: una cohorte retrospectiva. Biomédica. 2020;40(Supl.2):734-48. </w:t>
      </w:r>
      <w:r>
        <w:rPr/>
        <w:fldChar w:fldCharType="begin"/>
      </w:r>
      <w:r>
        <w:instrText xml:space="preserve"> HYPERLINK "https://doi.org/10.7705/biomedica.5244" </w:instrText>
      </w:r>
      <w:r>
        <w:rPr/>
        <w:fldChar w:fldCharType="separate"/>
      </w:r>
      <w:r>
        <w:rPr>
          <w:rStyle w:val="style85"/>
          <w:rFonts w:ascii="Arial" w:cs="Arial" w:hAnsi="Arial"/>
          <w:sz w:val="24"/>
          <w:szCs w:val="24"/>
        </w:rPr>
        <w:t>https://doi.org/10.7705/biomedica.5244</w:t>
      </w:r>
      <w:r>
        <w:rPr/>
        <w:fldChar w:fldCharType="end"/>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García GA, Martínez PK, Agüero CY, P</w:t>
      </w:r>
      <w:r>
        <w:rPr>
          <w:rStyle w:val="style4102"/>
          <w:rFonts w:ascii="Arial" w:cs="Arial" w:hAnsi="Arial"/>
          <w:sz w:val="24"/>
          <w:szCs w:val="24"/>
        </w:rPr>
        <w:t xml:space="preserve">radere Pensado JC, Leal Capdesuñer O. </w:t>
      </w:r>
      <w:r>
        <w:rPr>
          <w:rFonts w:ascii="Arial" w:cs="Arial" w:hAnsi="Arial"/>
          <w:sz w:val="24"/>
          <w:szCs w:val="24"/>
        </w:rPr>
        <w:t xml:space="preserve">Caracterización de pacientes con antecedentes de alcoholismo crónico en una unidad de cuidados intensivos. Rev Cub Med Mil . 2020;49(3). </w:t>
      </w:r>
    </w:p>
    <w:p>
      <w:pPr>
        <w:pStyle w:val="style179"/>
        <w:numPr>
          <w:ilvl w:val="0"/>
          <w:numId w:val="8"/>
        </w:numPr>
        <w:spacing w:after="0" w:lineRule="auto" w:line="360"/>
        <w:jc w:val="both"/>
        <w:rPr>
          <w:rFonts w:ascii="Arial" w:cs="Arial" w:hAnsi="Arial"/>
          <w:sz w:val="24"/>
          <w:szCs w:val="24"/>
          <w:lang w:val="en-US"/>
        </w:rPr>
      </w:pPr>
      <w:r>
        <w:rPr>
          <w:rFonts w:ascii="Arial" w:cs="Arial" w:hAnsi="Arial"/>
          <w:sz w:val="24"/>
          <w:szCs w:val="24"/>
          <w:lang w:val="en-US"/>
        </w:rPr>
        <w:t>White AM, Castle IP, Hingson RW, Powell PA. Using Death Certificates to Explore Changes in Alcohol-Related Mortality in the United States, 1999 to 2017. Alcohol Clin Exp Res. 2020 Jan;44(1):178-187. doi: 10.1111/acer.14239. Epub 2020 Jan 7. PMID: 31912524.</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val="en-US" w:eastAsia="es-ES"/>
        </w:rPr>
        <w:t xml:space="preserve">Kerr WC, Ye Y, Martinez P, Karriker-Jaffe KJ, Patterson D, Greenfield TK, Mulia N. Longitudinal assessment of drinking changes during the pandemic: The 2021 COVID-19 follow-up study to the 2019 to 2020 National Alcohol Survey. </w:t>
      </w:r>
      <w:r>
        <w:rPr>
          <w:rFonts w:ascii="Arial" w:cs="Arial" w:eastAsia="Times New Roman" w:hAnsi="Arial"/>
          <w:sz w:val="24"/>
          <w:szCs w:val="24"/>
          <w:lang w:eastAsia="es-ES"/>
        </w:rPr>
        <w:t>Alcohol Clin Exp Res. 2022 Jun;46(6):1050-1061. doi: 10.1111/acer.14839. PMID: 35753040; PMCID: PMC9350305.</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val="en-US" w:eastAsia="es-ES"/>
        </w:rPr>
        <w:t xml:space="preserve">Woolf SH, Chapman DA, Buchanich JM, Bobby KJ, Zimmerman EB, Blackburn SM. Changes in midlife death rates across racial and ethnic </w:t>
      </w:r>
      <w:r>
        <w:rPr>
          <w:rFonts w:ascii="Arial" w:cs="Arial" w:eastAsia="Times New Roman" w:hAnsi="Arial"/>
          <w:sz w:val="24"/>
          <w:szCs w:val="24"/>
          <w:lang w:val="en-US" w:eastAsia="es-ES"/>
        </w:rPr>
        <w:t xml:space="preserve">groups in the United States: systematic analysis of vital statistics. BMJ. 2018 Aug 15;362:k3096. doi: 10.1136/bmj.k3096. </w:t>
      </w:r>
      <w:r>
        <w:rPr>
          <w:rFonts w:ascii="Arial" w:cs="Arial" w:eastAsia="Times New Roman" w:hAnsi="Arial"/>
          <w:sz w:val="24"/>
          <w:szCs w:val="24"/>
          <w:lang w:eastAsia="es-ES"/>
        </w:rPr>
        <w:t>PMID: 30111554; PMCID: PMC6092678.</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Navarro-Baldellot A, Rodríguez-Amador L, Pena-Olivera R, Cruz-de-los-Santos H, Fumero-Roldán L, Sánchez-Sánchez S. Comportamiento de la mortalidad según necropsia en Servicios de Medicina Interna y Geriatría de Cienfuegos. </w:t>
      </w:r>
      <w:r>
        <w:rPr>
          <w:rStyle w:val="style87"/>
          <w:rFonts w:ascii="Arial" w:cs="Arial" w:hAnsi="Arial"/>
          <w:sz w:val="24"/>
          <w:szCs w:val="24"/>
        </w:rPr>
        <w:t>Revista Finlay</w:t>
      </w:r>
      <w:r>
        <w:rPr>
          <w:rFonts w:ascii="Arial" w:cs="Arial" w:hAnsi="Arial"/>
          <w:sz w:val="24"/>
          <w:szCs w:val="24"/>
        </w:rPr>
        <w:t xml:space="preserve"> [revista en Internet]. 2021 [citado 2022 Oct 14]; 11(4):[aprox. 9 p.]. Disponible en: </w:t>
      </w:r>
      <w:r>
        <w:rPr/>
        <w:fldChar w:fldCharType="begin"/>
      </w:r>
      <w:r>
        <w:instrText xml:space="preserve"> HYPERLINK "http://revfinlay.sld.cu/index.php/finlay/article/view/1084" </w:instrText>
      </w:r>
      <w:r>
        <w:rPr/>
        <w:fldChar w:fldCharType="separate"/>
      </w:r>
      <w:r>
        <w:rPr>
          <w:rStyle w:val="style85"/>
          <w:rFonts w:ascii="Arial" w:cs="Arial" w:hAnsi="Arial"/>
          <w:sz w:val="24"/>
          <w:szCs w:val="24"/>
        </w:rPr>
        <w:t>http://revfinlay.sld.cu/index.php/finlay/article/view/1084</w:t>
      </w:r>
      <w:r>
        <w:rPr/>
        <w:fldChar w:fldCharType="end"/>
      </w:r>
      <w:r>
        <w:rPr>
          <w:rFonts w:ascii="Arial" w:cs="Arial" w:hAnsi="Arial"/>
          <w:sz w:val="24"/>
          <w:szCs w:val="24"/>
        </w:rPr>
        <w:t>.</w:t>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5"/>
          <w:szCs w:val="25"/>
        </w:rPr>
        <w:t xml:space="preserve">Santeiro LD, Valdés ML, Díaz JA, Díaz JC, Marrero J, Castro L. Comportamiento de la mortalidad en la provincia Cienfuegos. 2013-2015. Medisur [revista en Internet]. 2019 [citado 29 Feb 2022];17(1):[aprox. 9p]. Disponible en: </w:t>
      </w:r>
      <w:r>
        <w:rPr/>
        <w:fldChar w:fldCharType="begin"/>
      </w:r>
      <w:r>
        <w:instrText xml:space="preserve"> HYPERLINK "https://medisur.sld.cu/index.php/medisur/article/view/3917" </w:instrText>
      </w:r>
      <w:r>
        <w:rPr/>
        <w:fldChar w:fldCharType="separate"/>
      </w:r>
      <w:r>
        <w:rPr>
          <w:rStyle w:val="style85"/>
          <w:rFonts w:ascii="Arial" w:cs="Arial" w:hAnsi="Arial"/>
          <w:sz w:val="25"/>
          <w:szCs w:val="25"/>
        </w:rPr>
        <w:t>https://medisur.sld.cu/index.php/medisur/article/view/3917</w:t>
      </w:r>
      <w:r>
        <w:rPr/>
        <w:fldChar w:fldCharType="end"/>
      </w:r>
      <w:r>
        <w:rPr>
          <w:rFonts w:ascii="Arial" w:cs="Arial" w:hAnsi="Arial"/>
          <w:sz w:val="25"/>
          <w:szCs w:val="25"/>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Henig O, Kaye KS. Bacterial pneumonia in older adults. Infect Dis Clin North Am. 2017;31:689-713. </w:t>
      </w:r>
      <w:r>
        <w:rPr/>
        <w:fldChar w:fldCharType="begin"/>
      </w:r>
      <w:r>
        <w:instrText xml:space="preserve"> HYPERLINK "https://doi.org/10.1016/j.arbres.2015.12.006" </w:instrText>
      </w:r>
      <w:r>
        <w:rPr/>
        <w:fldChar w:fldCharType="separate"/>
      </w:r>
      <w:r>
        <w:rPr>
          <w:rStyle w:val="style85"/>
          <w:rFonts w:ascii="Arial" w:cs="Arial" w:hAnsi="Arial"/>
          <w:sz w:val="24"/>
          <w:szCs w:val="24"/>
        </w:rPr>
        <w:t>https://doi.org/10.1016/j.arbres.2015.12.006</w:t>
      </w:r>
      <w:r>
        <w:rPr/>
        <w:fldChar w:fldCharType="end"/>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Saldías-Peñafiel F, O’Brien A, Gederline A, Farias G, Díaz A. Neumonía adquirida en la comunidad en el anciano inmunocompetente que requiere hospitalización. </w:t>
      </w:r>
      <w:r>
        <w:rPr>
          <w:rFonts w:ascii="Arial" w:cs="Arial" w:hAnsi="Arial"/>
          <w:sz w:val="24"/>
          <w:szCs w:val="24"/>
          <w:lang w:val="en-GB"/>
        </w:rPr>
        <w:t>Cuadro clínico, factores pronósticos y tratamiento. Arch  bronconeumol 2003; 39: 333-40</w:t>
      </w:r>
    </w:p>
    <w:p>
      <w:pPr>
        <w:pStyle w:val="style179"/>
        <w:numPr>
          <w:ilvl w:val="0"/>
          <w:numId w:val="8"/>
        </w:numPr>
        <w:spacing w:after="0" w:lineRule="auto" w:line="360"/>
        <w:jc w:val="both"/>
        <w:rPr>
          <w:rFonts w:ascii="Arial" w:cs="Arial" w:hAnsi="Arial"/>
          <w:b/>
          <w:sz w:val="24"/>
          <w:szCs w:val="24"/>
        </w:rPr>
      </w:pPr>
      <w:r>
        <w:rPr>
          <w:rFonts w:ascii="Arial" w:cs="Arial" w:hAnsi="Arial"/>
          <w:sz w:val="24"/>
          <w:szCs w:val="24"/>
        </w:rPr>
        <w:t xml:space="preserve">Clemente MG,  Budiño TG,  Seco GA,  Santiago M,  Gutiérrez M,  Romero P. Neumonía adquirida en la comunidad en el anciano. Factores pronósticos. Arch Bronconeumol 2002; 38: 67 – 71. Disponible en: </w:t>
      </w:r>
      <w:r>
        <w:rPr/>
        <w:fldChar w:fldCharType="begin"/>
      </w:r>
      <w:r>
        <w:instrText xml:space="preserve"> HYPERLINK "http://www.doyman.es" </w:instrText>
      </w:r>
      <w:r>
        <w:rPr/>
        <w:fldChar w:fldCharType="separate"/>
      </w:r>
      <w:r>
        <w:rPr>
          <w:rStyle w:val="style85"/>
          <w:rFonts w:ascii="Arial" w:cs="Arial" w:hAnsi="Arial"/>
          <w:sz w:val="24"/>
          <w:szCs w:val="24"/>
        </w:rPr>
        <w:t>http://www.doyman.es</w:t>
      </w:r>
      <w:r>
        <w:rPr/>
        <w:fldChar w:fldCharType="end"/>
      </w:r>
      <w:r>
        <w:rPr>
          <w:rFonts w:ascii="Arial" w:cs="Arial" w:hAnsi="Arial"/>
          <w:sz w:val="24"/>
          <w:szCs w:val="24"/>
        </w:rPr>
        <w:t xml:space="preserve"> (Consultado el 6-7-2009).</w:t>
      </w:r>
    </w:p>
    <w:p>
      <w:pPr>
        <w:pStyle w:val="style179"/>
        <w:numPr>
          <w:ilvl w:val="0"/>
          <w:numId w:val="8"/>
        </w:numPr>
        <w:spacing w:after="0" w:lineRule="auto" w:line="360"/>
        <w:jc w:val="both"/>
        <w:rPr>
          <w:rStyle w:val="style4104"/>
          <w:rFonts w:ascii="Arial" w:cs="Arial" w:hAnsi="Arial"/>
          <w:sz w:val="24"/>
          <w:szCs w:val="24"/>
          <w:lang w:val="en-US"/>
        </w:rPr>
      </w:pPr>
      <w:r>
        <w:rPr>
          <w:rStyle w:val="style4104"/>
          <w:rFonts w:ascii="Arial" w:cs="Arial" w:hAnsi="Arial"/>
          <w:sz w:val="24"/>
          <w:szCs w:val="24"/>
        </w:rPr>
        <w:t xml:space="preserve">Martínez-Luna M, Rojas-Granados A, Lázaro-Pacheco R, Meza-Alvarado I, Ubaldo-Reyes L, Ángeles-Castellanos M. Enfermedad pulmonar obstructiva crónica (EPOC). </w:t>
      </w:r>
      <w:r>
        <w:rPr>
          <w:rStyle w:val="style4104"/>
          <w:rFonts w:ascii="Arial" w:cs="Arial" w:hAnsi="Arial"/>
          <w:sz w:val="24"/>
          <w:szCs w:val="24"/>
          <w:lang w:val="en-US"/>
        </w:rPr>
        <w:t xml:space="preserve">Rev Fac Med UNAM [Internet]. 2019 [citado 22/07/2021]; 63(3):25-30. DOI: </w:t>
      </w:r>
      <w:r>
        <w:rPr/>
        <w:fldChar w:fldCharType="begin"/>
      </w:r>
      <w:r>
        <w:instrText xml:space="preserve"> HYPERLINK "http://doi.org/10.22201/fm.24484865e.2019.63.3.06" \t "_blank" </w:instrText>
      </w:r>
      <w:r>
        <w:rPr/>
        <w:fldChar w:fldCharType="separate"/>
      </w:r>
      <w:r>
        <w:rPr>
          <w:rStyle w:val="style85"/>
          <w:rFonts w:ascii="Arial" w:cs="Arial" w:hAnsi="Arial"/>
          <w:sz w:val="24"/>
          <w:szCs w:val="24"/>
          <w:lang w:val="en-US"/>
        </w:rPr>
        <w:t>http://doi.org/10.22201/fm.24484865e.2019.63.3.06</w:t>
      </w:r>
      <w:r>
        <w:rPr/>
        <w:fldChar w:fldCharType="end"/>
      </w:r>
      <w:r>
        <w:rPr>
          <w:rStyle w:val="style4104"/>
          <w:rFonts w:ascii="Arial" w:cs="Arial" w:hAnsi="Arial"/>
          <w:sz w:val="24"/>
          <w:szCs w:val="24"/>
          <w:lang w:val="en-US"/>
        </w:rPr>
        <w:t xml:space="preserve">. </w:t>
      </w:r>
    </w:p>
    <w:p>
      <w:pPr>
        <w:pStyle w:val="style179"/>
        <w:numPr>
          <w:ilvl w:val="0"/>
          <w:numId w:val="8"/>
        </w:numPr>
        <w:spacing w:after="0" w:lineRule="auto" w:line="360"/>
        <w:jc w:val="both"/>
        <w:rPr>
          <w:rFonts w:ascii="Arial" w:cs="Arial" w:hAnsi="Arial"/>
          <w:sz w:val="24"/>
          <w:szCs w:val="24"/>
        </w:rPr>
      </w:pPr>
      <w:r>
        <w:rPr>
          <w:rFonts w:ascii="Arial" w:cs="Arial" w:eastAsia="Times New Roman" w:hAnsi="Arial"/>
          <w:sz w:val="24"/>
          <w:szCs w:val="24"/>
          <w:lang w:val="en-US" w:eastAsia="es-ES"/>
        </w:rPr>
        <w:t xml:space="preserve">Husebo GR, Nielsen R, Hardie J, Bakke PS, Lerner L, D'Alessandro-Gabazza C, Gyuris J, Gabazza E, Aukrust P, Eagan T. Risk factors for lung cancer in COPD - results from the Bergen COPD cohort study. </w:t>
      </w:r>
      <w:r>
        <w:rPr>
          <w:rFonts w:ascii="Arial" w:cs="Arial" w:eastAsia="Times New Roman" w:hAnsi="Arial"/>
          <w:sz w:val="24"/>
          <w:szCs w:val="24"/>
          <w:lang w:eastAsia="es-ES"/>
        </w:rPr>
        <w:t xml:space="preserve">Respir Med. 2019 Jun;152:81-88. doi: 10.1016/j.rmed.2019.04.019.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Miniati M, Monti S, Pavlickova I, Bottai M. Survival in COPD: impact of lung dysfunction and comorbidities. </w:t>
      </w:r>
      <w:r>
        <w:rPr>
          <w:rFonts w:ascii="Arial" w:cs="Arial" w:hAnsi="Arial"/>
          <w:sz w:val="24"/>
          <w:szCs w:val="24"/>
        </w:rPr>
        <w:t>Medicine (Baltimore). 2014;93:e76.</w:t>
      </w:r>
    </w:p>
    <w:p>
      <w:pPr>
        <w:pStyle w:val="style179"/>
        <w:numPr>
          <w:ilvl w:val="0"/>
          <w:numId w:val="8"/>
        </w:numPr>
        <w:spacing w:after="0" w:lineRule="auto" w:line="360"/>
        <w:jc w:val="both"/>
        <w:rPr>
          <w:rFonts w:ascii="Arial" w:cs="Arial" w:hAnsi="Arial"/>
          <w:sz w:val="24"/>
          <w:szCs w:val="24"/>
          <w:lang w:val="en-US"/>
        </w:rPr>
      </w:pPr>
      <w:r>
        <w:rPr>
          <w:rFonts w:ascii="Arial" w:cs="Arial" w:hAnsi="Arial"/>
          <w:sz w:val="24"/>
          <w:szCs w:val="24"/>
          <w:lang w:val="en-US"/>
        </w:rPr>
        <w:t xml:space="preserve">Vanfleteren LE, Spruit MA, Groenen M, Gaffron S, Van Empel VP, Bruijnzeel PL, et al. Clusters of comorbidities based on validated objective measurements and systemic inflammation in patients with chronic obstructive pulmonary disease. </w:t>
      </w:r>
      <w:r>
        <w:rPr>
          <w:rFonts w:ascii="Arial" w:cs="Arial" w:hAnsi="Arial"/>
          <w:sz w:val="24"/>
          <w:szCs w:val="24"/>
          <w:lang w:val="en-US"/>
        </w:rPr>
        <w:t xml:space="preserve">Am J Respir Crit Care Med. 2013;187:728-35.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Miravitlles M, Soler-Cataluña JJ, Calle M, Molina J, Almagro P, Quintano JA, et al. Guía española de la enfermedad pulmonar obstructiva crónica (GesEPOC) 2017. Tratamiento farmacológico en fase estable. Arch Bronconeumol. 2017;53(6):324-335.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Almagro P, Cabrera FJ, Diez J, Boixeda R, Alonso Ortiz MB, Murio C, et al; Working Group on COPD, Spanish Society of Internal Medicine. Comorbidities and shortterm prognosis in patients hospitalized for acute exacerbation of COPD: the EPOC en Servicios de medicina interna (ESMI) study. </w:t>
      </w:r>
      <w:r>
        <w:rPr>
          <w:rFonts w:ascii="Arial" w:cs="Arial" w:hAnsi="Arial"/>
          <w:sz w:val="24"/>
          <w:szCs w:val="24"/>
        </w:rPr>
        <w:t>Chest. 2012;142:1126-33</w:t>
      </w:r>
      <w:r>
        <w:rPr>
          <w:rFonts w:ascii="Arial" w:cs="Arial" w:hAnsi="Arial"/>
          <w:sz w:val="24"/>
          <w:szCs w:val="24"/>
        </w:rPr>
        <w:t>.</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Ariza Escobar W, Aguilar Salcedo N, Meza Ruiz W, Ariza García A. “Severidad y mortalidad de enfermedad por SARS-COV-2 en pacientes con Asma o EPOC en un hospital de la ciudad de Cartagena-Colombia, en el año 2020”. </w:t>
      </w:r>
      <w:r>
        <w:rPr>
          <w:rFonts w:ascii="Arial" w:cs="Arial" w:hAnsi="Arial"/>
          <w:iCs/>
          <w:sz w:val="24"/>
          <w:szCs w:val="24"/>
        </w:rPr>
        <w:t xml:space="preserve">Revista Ciencias Biomédicas. </w:t>
      </w:r>
      <w:r>
        <w:rPr>
          <w:rFonts w:ascii="Arial" w:cs="Arial" w:hAnsi="Arial"/>
          <w:sz w:val="24"/>
          <w:szCs w:val="24"/>
        </w:rPr>
        <w:t>(2022);</w:t>
      </w:r>
      <w:r>
        <w:rPr>
          <w:rFonts w:ascii="Arial" w:cs="Arial" w:hAnsi="Arial"/>
          <w:iCs/>
          <w:sz w:val="24"/>
          <w:szCs w:val="24"/>
        </w:rPr>
        <w:t>11</w:t>
      </w:r>
      <w:r>
        <w:rPr>
          <w:rFonts w:ascii="Arial" w:cs="Arial" w:hAnsi="Arial"/>
          <w:sz w:val="24"/>
          <w:szCs w:val="24"/>
        </w:rPr>
        <w:t xml:space="preserve">(2):115–126. </w:t>
      </w:r>
      <w:r>
        <w:rPr/>
        <w:fldChar w:fldCharType="begin"/>
      </w:r>
      <w:r>
        <w:instrText xml:space="preserve"> HYPERLINK "https://doi.org/10.32997/rcb-2022-3933" </w:instrText>
      </w:r>
      <w:r>
        <w:rPr/>
        <w:fldChar w:fldCharType="separate"/>
      </w:r>
      <w:r>
        <w:rPr>
          <w:rStyle w:val="style85"/>
          <w:rFonts w:ascii="Arial" w:cs="Arial" w:hAnsi="Arial"/>
          <w:sz w:val="24"/>
          <w:szCs w:val="24"/>
        </w:rPr>
        <w:t>https://doi.org/10.32997/rcb-2022-3933</w:t>
      </w:r>
      <w:r>
        <w:rPr/>
        <w:fldChar w:fldCharType="end"/>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Chatila WM, Thomashow BM, Minai OA, Criner GJ, Make BJ. Comorbidities in chronic obstructive pulmonary disease. </w:t>
      </w:r>
      <w:r>
        <w:rPr>
          <w:rFonts w:ascii="Arial" w:cs="Arial" w:hAnsi="Arial"/>
          <w:sz w:val="24"/>
          <w:szCs w:val="24"/>
        </w:rPr>
        <w:t>Proc Am Thorac Soc. 2008;5:549-55.</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Chillón Martín MJ, Díez JM, Ferreira Moreno A, Sánchez Muñoz G. EPOC y alteraciones endocrinometabólicas. Arch Bronconeumol. 2009;45(Supl 4):42-46. </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Fernández-Bergés D, González-Fernández R, Félix-Redondo FJ, Arevalo Lorido J, Yeguas Rosa L, Hernández-González M, Rubini A, et al. Evolución del perfil clínico y pronóstico de pacientes con alta hospitalaria por insuficiencia cardíaca en las dos primeras décadas del siglo XXI. </w:t>
      </w:r>
      <w:r>
        <w:rPr>
          <w:rFonts w:ascii="Arial" w:cs="Arial" w:eastAsia="Times New Roman" w:hAnsi="Arial"/>
          <w:sz w:val="24"/>
          <w:szCs w:val="24"/>
          <w:lang w:val="en-US" w:eastAsia="es-ES"/>
        </w:rPr>
        <w:t xml:space="preserve">El Registro INCA-Ex [Clinical and prognostic profile evolution of patients discharged from hospital due to heart failure in the first two decades of the </w:t>
      </w:r>
      <w:r>
        <w:rPr>
          <w:rFonts w:ascii="Arial" w:cs="Arial" w:eastAsia="Times New Roman" w:hAnsi="Arial"/>
          <w:sz w:val="24"/>
          <w:szCs w:val="24"/>
          <w:lang w:val="en-US" w:eastAsia="es-ES"/>
        </w:rPr>
        <w:t xml:space="preserve">21st century. The INCA-Ex Registry]. Aten Primaria. 2022;54(7):102357. doi: 10.1016/j.aprim.2022.102357.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Heidenreich PA, Bozkurt B, Aguilar D, Allen LA, Byun JJ, Colvin MM, et al. 2022 AHA/ACC/HFSA guideline for the management of heart failure: a report of the American College of  Cardiology/American Heart Association Joint Committee on Clinical Practice Guidelines. </w:t>
      </w:r>
      <w:r>
        <w:rPr>
          <w:rFonts w:ascii="Arial" w:cs="Arial" w:hAnsi="Arial"/>
          <w:sz w:val="24"/>
          <w:szCs w:val="24"/>
        </w:rPr>
        <w:t>J Am Coll Cardiol.2022;79:e263-e421.</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Visseren FL, Mach F, Smulders YM, Carballo D, Koskinas KC, Bäck M, et al. </w:t>
      </w:r>
      <w:r>
        <w:rPr>
          <w:rFonts w:ascii="Arial" w:cs="Arial" w:hAnsi="Arial"/>
          <w:sz w:val="24"/>
          <w:szCs w:val="24"/>
        </w:rPr>
        <w:t>Guía ESC 2021 sobre la prevención de la enfermedad cardiovascular en la práctica clínica: Con la contribución especial de la European Association of Preventive Cardiology (EAPC)</w:t>
      </w:r>
      <w:r>
        <w:rPr>
          <w:rFonts w:ascii="Arial" w:cs="Arial" w:hAnsi="Arial"/>
          <w:sz w:val="24"/>
          <w:szCs w:val="24"/>
        </w:rPr>
        <w:t xml:space="preserve">. Rev Esp de Cardiología. 2022; </w:t>
      </w:r>
      <w:r>
        <w:rPr>
          <w:rFonts w:ascii="Arial" w:cs="Arial" w:hAnsi="Arial"/>
          <w:sz w:val="24"/>
          <w:szCs w:val="24"/>
        </w:rPr>
        <w:t xml:space="preserve">75(5):429.e1-429.e104. </w:t>
      </w:r>
      <w:r>
        <w:rPr/>
        <w:fldChar w:fldCharType="begin"/>
      </w:r>
      <w:r>
        <w:instrText xml:space="preserve"> HYPERLINK "https://doi.org/10.1016/j.recesp.2021.10.016" </w:instrText>
      </w:r>
      <w:r>
        <w:rPr/>
        <w:fldChar w:fldCharType="separate"/>
      </w:r>
      <w:r>
        <w:rPr>
          <w:rStyle w:val="style85"/>
          <w:rFonts w:ascii="Arial" w:cs="Arial" w:hAnsi="Arial"/>
          <w:sz w:val="24"/>
          <w:szCs w:val="24"/>
        </w:rPr>
        <w:t>https://doi.org/10.1016/j.recesp.2021.10.016</w:t>
      </w:r>
      <w:r>
        <w:rPr/>
        <w:fldChar w:fldCharType="end"/>
      </w:r>
      <w:r>
        <w:rPr>
          <w:rFonts w:ascii="Arial" w:cs="Arial" w:hAnsi="Arial"/>
          <w:sz w:val="24"/>
          <w:szCs w:val="24"/>
        </w:rPr>
        <w:t>.</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Comeche Casanova L, Echave-Sustaeta JM, García Luján R, Albarrán Lozano I, Alonso González P, Llorente Alonso MJ. </w:t>
      </w:r>
      <w:r>
        <w:rPr>
          <w:rFonts w:ascii="Arial" w:cs="Arial" w:eastAsia="Times New Roman" w:hAnsi="Arial"/>
          <w:bCs/>
          <w:sz w:val="24"/>
          <w:szCs w:val="24"/>
          <w:lang w:eastAsia="es-ES"/>
        </w:rPr>
        <w:t xml:space="preserve">Prevalencia de anemia asociada a la enfermedad pulmonar obstructiva crónica. Estudio de las variables asociadas. </w:t>
      </w:r>
      <w:r>
        <w:rPr>
          <w:rFonts w:ascii="Arial" w:cs="Arial" w:eastAsia="Times New Roman" w:hAnsi="Arial"/>
          <w:sz w:val="24"/>
          <w:szCs w:val="24"/>
          <w:lang w:eastAsia="es-ES"/>
        </w:rPr>
        <w:t xml:space="preserve">Arch de Bronconeumol. 2013;49(9): 383-387. 10.1016/j.arbres.2013.04.007. </w:t>
      </w:r>
    </w:p>
    <w:p>
      <w:pPr>
        <w:pStyle w:val="style179"/>
        <w:numPr>
          <w:ilvl w:val="0"/>
          <w:numId w:val="8"/>
        </w:numPr>
        <w:spacing w:after="0" w:lineRule="auto" w:line="360"/>
        <w:jc w:val="both"/>
        <w:rPr>
          <w:rStyle w:val="style4102"/>
          <w:rFonts w:ascii="Arial" w:cs="Arial" w:hAnsi="Arial"/>
          <w:sz w:val="24"/>
          <w:szCs w:val="24"/>
        </w:rPr>
      </w:pPr>
      <w:r>
        <w:rPr>
          <w:rStyle w:val="style4102"/>
          <w:rFonts w:ascii="Arial" w:cs="Arial" w:hAnsi="Arial"/>
          <w:sz w:val="24"/>
          <w:szCs w:val="24"/>
        </w:rPr>
        <w:t xml:space="preserve">Miranda Machado PA, Baños Álvarez I, Gaitán Duarte HG. </w:t>
      </w:r>
      <w:r>
        <w:rPr>
          <w:rStyle w:val="style4102"/>
          <w:rFonts w:ascii="Arial" w:cs="Arial" w:hAnsi="Arial"/>
          <w:sz w:val="24"/>
          <w:szCs w:val="24"/>
          <w:lang w:val="en-US"/>
        </w:rPr>
        <w:t xml:space="preserve">Association between anemia and chronic obstructive pulmonary disease exacerbations in Cartagena Colombia: a prospective cohort study. </w:t>
      </w:r>
      <w:r>
        <w:rPr>
          <w:rStyle w:val="style4102"/>
          <w:rFonts w:ascii="Arial" w:cs="Arial" w:hAnsi="Arial"/>
          <w:sz w:val="24"/>
          <w:szCs w:val="24"/>
        </w:rPr>
        <w:t>Medwave 2019;19(2):e7602. Doi 10.5867/medwave.2019.02.760.</w:t>
      </w:r>
    </w:p>
    <w:p>
      <w:pPr>
        <w:pStyle w:val="style179"/>
        <w:numPr>
          <w:ilvl w:val="0"/>
          <w:numId w:val="8"/>
        </w:numPr>
        <w:spacing w:after="0" w:lineRule="auto" w:line="360"/>
        <w:jc w:val="both"/>
        <w:rPr>
          <w:rStyle w:val="style4102"/>
          <w:rFonts w:ascii="Arial" w:cs="Arial" w:hAnsi="Arial"/>
          <w:sz w:val="24"/>
          <w:szCs w:val="24"/>
        </w:rPr>
      </w:pPr>
      <w:r>
        <w:rPr>
          <w:rStyle w:val="style4102"/>
          <w:rFonts w:ascii="Arial" w:cs="Arial" w:hAnsi="Arial"/>
          <w:sz w:val="24"/>
          <w:szCs w:val="24"/>
          <w:lang w:val="en-US"/>
        </w:rPr>
        <w:t xml:space="preserve">Ergan B, Ergün R. Impact of anemia on short-term survival in severe COPD exacerbations: a cohort study. </w:t>
      </w:r>
      <w:r>
        <w:rPr>
          <w:rStyle w:val="style4102"/>
          <w:rFonts w:ascii="Arial" w:cs="Arial" w:hAnsi="Arial"/>
          <w:sz w:val="24"/>
          <w:szCs w:val="24"/>
        </w:rPr>
        <w:t xml:space="preserve">Int J Chron Obstruct Pulmon Dis. 2016;11:1775-83. </w:t>
      </w:r>
    </w:p>
    <w:p>
      <w:pPr>
        <w:pStyle w:val="style179"/>
        <w:numPr>
          <w:ilvl w:val="0"/>
          <w:numId w:val="8"/>
        </w:numPr>
        <w:spacing w:after="0" w:lineRule="auto" w:line="360"/>
        <w:jc w:val="both"/>
        <w:rPr>
          <w:rStyle w:val="style4102"/>
          <w:rFonts w:ascii="Arial" w:cs="Arial" w:eastAsia="Times New Roman" w:hAnsi="Arial"/>
          <w:sz w:val="24"/>
          <w:szCs w:val="24"/>
          <w:lang w:eastAsia="es-ES"/>
        </w:rPr>
      </w:pPr>
      <w:r>
        <w:rPr>
          <w:rStyle w:val="style4102"/>
          <w:rFonts w:ascii="Arial" w:cs="Arial" w:hAnsi="Arial"/>
          <w:sz w:val="24"/>
          <w:szCs w:val="24"/>
          <w:lang w:val="en-US"/>
        </w:rPr>
        <w:t xml:space="preserve">Pirotte M, Guiot J, Beguin Y, Louis R. [Anemia in patients with severe chronic obstructive pulmonary disease, a comorbity more common than previously thought]. </w:t>
      </w:r>
      <w:r>
        <w:rPr>
          <w:rStyle w:val="style4102"/>
          <w:rFonts w:ascii="Arial" w:cs="Arial" w:hAnsi="Arial"/>
          <w:sz w:val="24"/>
          <w:szCs w:val="24"/>
        </w:rPr>
        <w:t xml:space="preserve">Rev Med Liege. 2016;71(11):488-494. </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Martinez-Rivera C, Portillo K, Muñoz-Ferrer A, Martínez-Ortiz ML, Molins E, Serra P, et al. </w:t>
      </w:r>
      <w:r>
        <w:rPr>
          <w:rFonts w:ascii="Arial" w:cs="Arial" w:eastAsia="Times New Roman" w:hAnsi="Arial"/>
          <w:sz w:val="24"/>
          <w:szCs w:val="24"/>
          <w:lang w:val="en-US" w:eastAsia="es-ES"/>
        </w:rPr>
        <w:t xml:space="preserve">Anemia is a mortality predictor in hospitalized patients for COPD exacerbation. </w:t>
      </w:r>
      <w:r>
        <w:rPr>
          <w:rFonts w:ascii="Arial" w:cs="Arial" w:eastAsia="Times New Roman" w:hAnsi="Arial"/>
          <w:sz w:val="24"/>
          <w:szCs w:val="24"/>
          <w:lang w:eastAsia="es-ES"/>
        </w:rPr>
        <w:t>COPD. 2012 Jun;9(3):243-50.</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val="en-US" w:eastAsia="es-ES"/>
        </w:rPr>
        <w:t xml:space="preserve">Farsang CK, Kiss I, Tykarski A, Narkiewicz K. Treatment of hypertension in patients with chronic obstructive pulmonary disease (COPD). </w:t>
      </w:r>
      <w:r>
        <w:rPr>
          <w:rFonts w:ascii="Arial" w:cs="Arial" w:eastAsia="Times New Roman" w:hAnsi="Arial"/>
          <w:sz w:val="24"/>
          <w:szCs w:val="24"/>
          <w:lang w:eastAsia="es-ES"/>
        </w:rPr>
        <w:t>European Society of Hypertension Scientific Newsletter. 2016;17:62.</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val="en-US" w:eastAsia="es-ES"/>
        </w:rPr>
        <w:t xml:space="preserve">Baker JG, Wilcox RG. beta-Blockers, heart disease and COPD: current controversies and uncertainties. </w:t>
      </w:r>
      <w:r>
        <w:rPr>
          <w:rFonts w:ascii="Arial" w:cs="Arial" w:eastAsia="Times New Roman" w:hAnsi="Arial"/>
          <w:sz w:val="24"/>
          <w:szCs w:val="24"/>
          <w:lang w:eastAsia="es-ES"/>
        </w:rPr>
        <w:t>Thorax. 2017;72:271–276.</w:t>
      </w:r>
    </w:p>
    <w:p>
      <w:pPr>
        <w:pStyle w:val="style179"/>
        <w:numPr>
          <w:ilvl w:val="0"/>
          <w:numId w:val="8"/>
        </w:numPr>
        <w:spacing w:after="0" w:lineRule="auto" w:line="360"/>
        <w:jc w:val="both"/>
        <w:rPr>
          <w:rFonts w:ascii="Arial" w:cs="Arial" w:eastAsia="Times New Roman" w:hAnsi="Arial"/>
          <w:sz w:val="24"/>
          <w:szCs w:val="24"/>
          <w:lang w:eastAsia="es-ES"/>
        </w:rPr>
      </w:pPr>
      <w:r>
        <w:rPr>
          <w:rFonts w:ascii="Arial" w:cs="Arial" w:eastAsia="Times New Roman" w:hAnsi="Arial"/>
          <w:sz w:val="24"/>
          <w:szCs w:val="24"/>
          <w:lang w:eastAsia="es-ES"/>
        </w:rPr>
        <w:t>Alfonso Guerra</w:t>
      </w:r>
      <w:r>
        <w:rPr>
          <w:rFonts w:ascii="Arial" w:cs="Arial" w:eastAsia="Times New Roman" w:hAnsi="Arial"/>
          <w:sz w:val="24"/>
          <w:szCs w:val="24"/>
          <w:lang w:eastAsia="es-ES"/>
        </w:rPr>
        <w:t xml:space="preserve"> D</w:t>
      </w:r>
      <w:r>
        <w:rPr>
          <w:rFonts w:ascii="Arial" w:cs="Arial" w:eastAsia="Times New Roman" w:hAnsi="Arial"/>
          <w:sz w:val="24"/>
          <w:szCs w:val="24"/>
          <w:lang w:eastAsia="es-ES"/>
        </w:rPr>
        <w:t>, Alfonso Salabert I, Salabert Tortoló I, Alfonso Prínce JC, Mercader Rosell B, Díaz Pérez R. Enfermedad pulmonar obstructiva crónica en pacientes ingresados en unidades de atención al grave. Cárdenas. Rev</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Med</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Electrón.  </w:t>
      </w:r>
      <w:r>
        <w:rPr>
          <w:rFonts w:ascii="Arial" w:cs="Arial" w:eastAsia="Times New Roman" w:hAnsi="Arial"/>
          <w:sz w:val="24"/>
          <w:szCs w:val="24"/>
          <w:lang w:eastAsia="es-ES"/>
        </w:rPr>
        <w:t>2018;</w:t>
      </w:r>
      <w:r>
        <w:rPr>
          <w:rFonts w:ascii="Arial" w:cs="Arial" w:eastAsia="Times New Roman" w:hAnsi="Arial"/>
          <w:sz w:val="24"/>
          <w:szCs w:val="24"/>
          <w:lang w:eastAsia="es-ES"/>
        </w:rPr>
        <w:t xml:space="preserve"> 40( 6 ): 1780-1800. Disponible en:</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http://scielo.sld.cu/scielo.php?script=sci_arttext&amp;pid=S1684-</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18242018000601780&amp;lng=es.</w:t>
      </w:r>
      <w:r>
        <w:rPr>
          <w:rFonts w:ascii="Arial" w:cs="Arial" w:eastAsia="Times New Roman" w:hAnsi="Arial"/>
          <w:sz w:val="24"/>
          <w:szCs w:val="24"/>
          <w:lang w:eastAsia="es-ES"/>
        </w:rPr>
        <w:t xml:space="preserve">   </w:t>
      </w:r>
    </w:p>
    <w:p>
      <w:pPr>
        <w:pStyle w:val="style179"/>
        <w:numPr>
          <w:ilvl w:val="0"/>
          <w:numId w:val="8"/>
        </w:numPr>
        <w:spacing w:after="0" w:lineRule="auto" w:line="360"/>
        <w:jc w:val="both"/>
        <w:rPr>
          <w:rStyle w:val="style85"/>
          <w:rFonts w:ascii="Arial" w:cs="Arial" w:hAnsi="Arial"/>
          <w:color w:val="auto"/>
          <w:sz w:val="24"/>
          <w:szCs w:val="24"/>
          <w:u w:val="none"/>
        </w:rPr>
      </w:pPr>
      <w:r>
        <w:rPr>
          <w:rFonts w:ascii="Arial" w:cs="Arial" w:hAnsi="Arial"/>
          <w:sz w:val="24"/>
          <w:szCs w:val="24"/>
          <w:lang w:val="en-US"/>
        </w:rPr>
        <w:t>Viasus D, Gaia V, Manzur-Barbur C, Jordi C</w:t>
      </w:r>
      <w:r>
        <w:rPr>
          <w:rFonts w:ascii="Arial" w:cs="Arial" w:hAnsi="Arial"/>
          <w:i/>
          <w:iCs/>
          <w:sz w:val="24"/>
          <w:szCs w:val="24"/>
          <w:lang w:val="en-US"/>
        </w:rPr>
        <w:t>.</w:t>
      </w:r>
      <w:r>
        <w:rPr>
          <w:rFonts w:ascii="Arial" w:cs="Arial" w:hAnsi="Arial"/>
          <w:sz w:val="24"/>
          <w:szCs w:val="24"/>
          <w:lang w:val="en-US"/>
        </w:rPr>
        <w:t xml:space="preserve"> Legionnaires’ Disease: Update on Diagnosis and Treatment. </w:t>
      </w:r>
      <w:r>
        <w:rPr>
          <w:rFonts w:ascii="Arial" w:cs="Arial" w:hAnsi="Arial"/>
          <w:i/>
          <w:iCs/>
          <w:sz w:val="24"/>
          <w:szCs w:val="24"/>
        </w:rPr>
        <w:t>Infect Dis Ther. 2022;</w:t>
      </w:r>
      <w:r>
        <w:rPr>
          <w:rFonts w:ascii="Arial" w:cs="Arial" w:hAnsi="Arial"/>
          <w:sz w:val="24"/>
          <w:szCs w:val="24"/>
        </w:rPr>
        <w:t xml:space="preserve"> </w:t>
      </w:r>
      <w:r>
        <w:rPr>
          <w:rFonts w:ascii="Arial" w:cs="Arial" w:hAnsi="Arial"/>
          <w:bCs/>
          <w:sz w:val="24"/>
          <w:szCs w:val="24"/>
        </w:rPr>
        <w:t>11:</w:t>
      </w:r>
      <w:r>
        <w:rPr>
          <w:rFonts w:ascii="Arial" w:cs="Arial" w:hAnsi="Arial"/>
          <w:sz w:val="24"/>
          <w:szCs w:val="24"/>
        </w:rPr>
        <w:t xml:space="preserve">973-986. </w:t>
      </w:r>
      <w:r>
        <w:rPr/>
        <w:fldChar w:fldCharType="begin"/>
      </w:r>
      <w:r>
        <w:instrText xml:space="preserve"> HYPERLINK "https://doi.org/10.1007/s40121-022-00635-7" </w:instrText>
      </w:r>
      <w:r>
        <w:rPr/>
        <w:fldChar w:fldCharType="separate"/>
      </w:r>
      <w:r>
        <w:rPr>
          <w:rStyle w:val="style85"/>
          <w:rFonts w:ascii="Arial" w:cs="Arial" w:hAnsi="Arial"/>
          <w:sz w:val="24"/>
          <w:szCs w:val="24"/>
        </w:rPr>
        <w:t>https://doi.org/10.1007/s40121-022-00635-7</w:t>
      </w:r>
      <w:r>
        <w:rPr/>
        <w:fldChar w:fldCharType="end"/>
      </w:r>
      <w:r>
        <w:rPr>
          <w:rStyle w:val="style85"/>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Menéndez R, Cilloniz C, España P, Almirall J, Uranga A, Méndez R, et al. Neumonía adquirida en la comunidad. Normativa de la Sociedad Española de Neumología y Cirugía Torácica (SEPAR). Actualización 2020. Arch Bronconeumol. 2020;56(S1):1-10. DOI: </w:t>
      </w:r>
      <w:r>
        <w:rPr/>
        <w:fldChar w:fldCharType="begin"/>
      </w:r>
      <w:r>
        <w:instrText xml:space="preserve"> HYPERLINK "https://www.archbronconeumol.org/en-neumonia-adquirida-comunidad-normativa-sociedad-articulo-S0300289620300405" </w:instrText>
      </w:r>
      <w:r>
        <w:rPr/>
        <w:fldChar w:fldCharType="separate"/>
      </w:r>
      <w:r>
        <w:rPr>
          <w:rStyle w:val="style85"/>
          <w:rFonts w:ascii="Arial" w:cs="Arial" w:hAnsi="Arial"/>
          <w:sz w:val="24"/>
          <w:szCs w:val="24"/>
        </w:rPr>
        <w:t>10.1016/j.arbres.2020.01.014</w:t>
      </w:r>
      <w:r>
        <w:rPr/>
        <w:fldChar w:fldCharType="end"/>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Feldman C, Anderson R. Community-acquired pneumonia: Still a major burden of disease. </w:t>
      </w:r>
      <w:r>
        <w:rPr>
          <w:rFonts w:ascii="Arial" w:cs="Arial" w:hAnsi="Arial"/>
          <w:sz w:val="24"/>
          <w:szCs w:val="24"/>
        </w:rPr>
        <w:t>Curr Opin Crit Care. 2016;22:477–84</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Müller M, Guignard V, Schefold JC, Leichtle AB, Exadaktylos AK, Pfortmueller CA. Utility of quick sepsis-related organ failure assessment (qSOFA) to predict outcome in patients with pneumonia. </w:t>
      </w:r>
      <w:r>
        <w:rPr>
          <w:rFonts w:ascii="Arial" w:cs="Arial" w:hAnsi="Arial"/>
          <w:sz w:val="24"/>
          <w:szCs w:val="24"/>
        </w:rPr>
        <w:t>PLos One. 2017;12:e0188913</w:t>
      </w:r>
      <w:r>
        <w:rPr>
          <w:rFonts w:ascii="Arial" w:cs="Arial" w:hAnsi="Arial"/>
          <w:sz w:val="24"/>
          <w:szCs w:val="24"/>
        </w:rPr>
        <w:t xml:space="preserve">. </w:t>
      </w:r>
      <w:r>
        <w:rPr/>
        <w:fldChar w:fldCharType="begin"/>
      </w:r>
      <w:r>
        <w:instrText xml:space="preserve"> HYPERLINK "http://dx.doi.org/10.1371/journal.pone.0188913" </w:instrText>
      </w:r>
      <w:r>
        <w:rPr/>
        <w:fldChar w:fldCharType="separate"/>
      </w:r>
      <w:r>
        <w:rPr>
          <w:rStyle w:val="style85"/>
          <w:rFonts w:ascii="Arial" w:cs="Arial" w:hAnsi="Arial"/>
          <w:sz w:val="24"/>
          <w:szCs w:val="24"/>
        </w:rPr>
        <w:t>http://dx.doi.org/10.1371/journal.pone.0188913</w:t>
      </w:r>
      <w:r>
        <w:rPr/>
        <w:fldChar w:fldCharType="end"/>
      </w:r>
      <w:r>
        <w:rPr>
          <w:rFonts w:ascii="Arial" w:cs="Arial" w:hAnsi="Arial"/>
          <w:sz w:val="24"/>
          <w:szCs w:val="24"/>
        </w:rPr>
        <w:t xml:space="preserve">. </w:t>
      </w:r>
      <w:r>
        <w:rPr>
          <w:sz w:val="24"/>
          <w:szCs w:val="24"/>
        </w:rPr>
        <w:br/>
      </w:r>
      <w:r>
        <w:rPr>
          <w:rFonts w:ascii="Arial" w:cs="Arial" w:hAnsi="Arial"/>
          <w:sz w:val="24"/>
          <w:szCs w:val="24"/>
        </w:rPr>
        <w:t xml:space="preserve">Ranzani OT, Prina E, Menéndez R, Ceccato A, Cilloniz C, Méndez R, et al. </w:t>
      </w:r>
      <w:r>
        <w:rPr>
          <w:rFonts w:ascii="Arial" w:cs="Arial" w:hAnsi="Arial"/>
          <w:sz w:val="24"/>
          <w:szCs w:val="24"/>
          <w:lang w:val="en-US"/>
        </w:rPr>
        <w:t xml:space="preserve">New sepsis definition (Sepsis-3) and community-acquired pneumonia mortality. A validation and clinical decision-making study. </w:t>
      </w:r>
      <w:r>
        <w:rPr>
          <w:rFonts w:ascii="Arial" w:cs="Arial" w:hAnsi="Arial"/>
          <w:sz w:val="24"/>
          <w:szCs w:val="24"/>
        </w:rPr>
        <w:t>Am J Respir Crit Care</w:t>
      </w:r>
      <w:r>
        <w:rPr>
          <w:rFonts w:ascii="Arial" w:cs="Arial" w:hAnsi="Arial"/>
          <w:sz w:val="24"/>
          <w:szCs w:val="24"/>
        </w:rPr>
        <w:t xml:space="preserve"> </w:t>
      </w:r>
      <w:r>
        <w:rPr>
          <w:rFonts w:ascii="Arial" w:cs="Arial" w:hAnsi="Arial"/>
          <w:sz w:val="24"/>
          <w:szCs w:val="24"/>
        </w:rPr>
        <w:t xml:space="preserve"> Med.</w:t>
      </w:r>
      <w:r>
        <w:rPr>
          <w:rFonts w:ascii="Arial" w:cs="Arial" w:hAnsi="Arial"/>
          <w:sz w:val="24"/>
          <w:szCs w:val="24"/>
        </w:rPr>
        <w:t xml:space="preserve"> </w:t>
      </w:r>
      <w:r>
        <w:rPr>
          <w:rFonts w:ascii="Arial" w:cs="Arial" w:hAnsi="Arial"/>
          <w:sz w:val="24"/>
          <w:szCs w:val="24"/>
        </w:rPr>
        <w:t>2017;196:1287-97.</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Tokioka F, Okamoto H, Yamazaki A, Itou A, Ishida T. The prognostic performance of qSOFA for community-acquired pneumonia. </w:t>
      </w:r>
      <w:r>
        <w:rPr>
          <w:rFonts w:ascii="Arial" w:cs="Arial" w:hAnsi="Arial"/>
          <w:sz w:val="24"/>
          <w:szCs w:val="24"/>
        </w:rPr>
        <w:t>J Intensive Care. 2018;6:46</w:t>
      </w:r>
      <w:r>
        <w:rPr>
          <w:rFonts w:ascii="Arial" w:cs="Arial" w:hAnsi="Arial"/>
          <w:sz w:val="24"/>
          <w:szCs w:val="24"/>
        </w:rPr>
        <w:t xml:space="preserve">. </w:t>
      </w:r>
      <w:r>
        <w:rPr/>
        <w:fldChar w:fldCharType="begin"/>
      </w:r>
      <w:r>
        <w:instrText xml:space="preserve"> HYPERLINK "http://dx.doi.org/10.1186/s40560-018-0307-7" </w:instrText>
      </w:r>
      <w:r>
        <w:rPr/>
        <w:fldChar w:fldCharType="separate"/>
      </w:r>
      <w:r>
        <w:rPr>
          <w:rStyle w:val="style85"/>
          <w:rFonts w:ascii="Arial" w:cs="Arial" w:hAnsi="Arial"/>
          <w:sz w:val="24"/>
          <w:szCs w:val="24"/>
        </w:rPr>
        <w:t>http://dx.doi.org/10.1186/s40560-018-0307-7</w:t>
      </w:r>
      <w:r>
        <w:rPr/>
        <w:fldChar w:fldCharType="end"/>
      </w:r>
      <w:r>
        <w:rPr>
          <w:rFonts w:ascii="Arial" w:cs="Arial" w:hAnsi="Arial"/>
          <w:sz w:val="24"/>
          <w:szCs w:val="24"/>
        </w:rPr>
        <w:t xml:space="preserve">. </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rPr>
        <w:t xml:space="preserve">Palomeque Ávila LT, Asitimbay Regalado MG, Landín Guarquila DI, Masapanta Serpa MA, Verdugo Peralta LE. Shock séptico en el adulto. RECIAMUC. 2022; 6(1):185-196. </w:t>
      </w:r>
      <w:r>
        <w:rPr/>
        <w:fldChar w:fldCharType="begin"/>
      </w:r>
      <w:r>
        <w:instrText xml:space="preserve"> HYPERLINK "https://doi.org/10.26820/reciamuc/6" </w:instrText>
      </w:r>
      <w:r>
        <w:rPr/>
        <w:fldChar w:fldCharType="separate"/>
      </w:r>
      <w:r>
        <w:rPr>
          <w:rStyle w:val="style85"/>
          <w:rFonts w:ascii="Arial" w:cs="Arial" w:hAnsi="Arial"/>
          <w:sz w:val="24"/>
          <w:szCs w:val="24"/>
        </w:rPr>
        <w:t>https://doi.org/10.26820/reciamuc/6</w:t>
      </w:r>
      <w:r>
        <w:rPr/>
        <w:fldChar w:fldCharType="end"/>
      </w:r>
      <w:r>
        <w:rPr>
          <w:rFonts w:ascii="Arial" w:cs="Arial" w:hAnsi="Arial"/>
          <w:sz w:val="24"/>
          <w:szCs w:val="24"/>
        </w:rPr>
        <w:t>.</w:t>
      </w:r>
    </w:p>
    <w:p>
      <w:pPr>
        <w:pStyle w:val="style179"/>
        <w:numPr>
          <w:ilvl w:val="0"/>
          <w:numId w:val="8"/>
        </w:numPr>
        <w:spacing w:after="0" w:lineRule="auto" w:line="360"/>
        <w:jc w:val="both"/>
        <w:rPr>
          <w:rFonts w:ascii="Arial" w:cs="Arial" w:hAnsi="Arial"/>
          <w:sz w:val="24"/>
          <w:szCs w:val="24"/>
          <w:lang w:val="en-US"/>
        </w:rPr>
      </w:pPr>
      <w:r>
        <w:rPr>
          <w:rFonts w:ascii="Arial" w:cs="Arial" w:hAnsi="Arial"/>
          <w:sz w:val="24"/>
          <w:szCs w:val="24"/>
        </w:rPr>
        <w:t xml:space="preserve"> </w:t>
      </w:r>
      <w:r>
        <w:rPr>
          <w:rFonts w:ascii="Arial" w:cs="Arial" w:hAnsi="Arial"/>
          <w:sz w:val="24"/>
          <w:szCs w:val="24"/>
          <w:lang w:val="en-US"/>
        </w:rPr>
        <w:t xml:space="preserve">Shim R, Wong CH. Ischemia, Immunosuppression and Infection—Tackling the Predicaments of Post-Stroke Complications. Int J Mol Sci. </w:t>
      </w:r>
      <w:r>
        <w:rPr>
          <w:rFonts w:ascii="Arial" w:cs="Arial" w:hAnsi="Arial"/>
          <w:sz w:val="24"/>
          <w:szCs w:val="24"/>
          <w:lang w:val="en-US"/>
        </w:rPr>
        <w:t xml:space="preserve">2016 Jan 5;17(1):64. doi: 10.3390/ijms17010064. PMID: 26742037; PMCID:PMC4730309. </w:t>
      </w:r>
    </w:p>
    <w:p>
      <w:pPr>
        <w:pStyle w:val="style179"/>
        <w:numPr>
          <w:ilvl w:val="0"/>
          <w:numId w:val="8"/>
        </w:numPr>
        <w:spacing w:after="0" w:lineRule="auto" w:line="360"/>
        <w:jc w:val="both"/>
        <w:rPr>
          <w:rFonts w:ascii="Arial" w:cs="Arial" w:hAnsi="Arial"/>
          <w:sz w:val="24"/>
          <w:szCs w:val="24"/>
          <w:lang w:val="en-US"/>
        </w:rPr>
      </w:pPr>
      <w:r>
        <w:rPr>
          <w:rFonts w:ascii="Arial" w:cs="Arial" w:hAnsi="Arial"/>
          <w:sz w:val="24"/>
          <w:szCs w:val="24"/>
          <w:lang w:val="en-US"/>
        </w:rPr>
        <w:t>Shim R, Wong CHY. Complex interplay of multiple biological systems that contribute to post-stroke infections. Brain Behav Immun. 2018 May; 70:10-20. doi: 10.1016/j.bbi.2018.03.019. Epub 2018 Mar 21. PMID: 29571897.</w:t>
      </w:r>
    </w:p>
    <w:p>
      <w:pPr>
        <w:pStyle w:val="style179"/>
        <w:numPr>
          <w:ilvl w:val="0"/>
          <w:numId w:val="8"/>
        </w:numPr>
        <w:spacing w:after="0" w:lineRule="auto" w:line="360"/>
        <w:jc w:val="both"/>
        <w:rPr>
          <w:rFonts w:ascii="Arial" w:cs="Arial" w:hAnsi="Arial"/>
          <w:sz w:val="24"/>
          <w:szCs w:val="24"/>
          <w:lang w:val="en-US"/>
        </w:rPr>
      </w:pPr>
      <w:r>
        <w:rPr>
          <w:rFonts w:ascii="Arial" w:cs="Arial" w:hAnsi="Arial"/>
          <w:sz w:val="24"/>
          <w:szCs w:val="24"/>
        </w:rPr>
        <w:t xml:space="preserve">Cortés JA, Cuervo-Maldonado SI, Nocua-Báez LC, Valderrama MC, Sánchez EA, Saavedra A, et al. </w:t>
      </w:r>
      <w:r>
        <w:rPr>
          <w:rFonts w:ascii="Arial" w:cs="Arial" w:hAnsi="Arial"/>
          <w:sz w:val="24"/>
          <w:szCs w:val="24"/>
          <w:lang w:val="en-US"/>
        </w:rPr>
        <w:t xml:space="preserve">Clinical Practice Guideline for the management of community-acquired pneumonia. Rev. Fac. Med. 2022;70(2):e93814 (In Press). English. doi: </w:t>
      </w:r>
      <w:r>
        <w:rPr/>
        <w:fldChar w:fldCharType="begin"/>
      </w:r>
      <w:r>
        <w:instrText xml:space="preserve"> HYPERLINK "https://doi.org/10.15446/revfacmed.v70n2.93814" </w:instrText>
      </w:r>
      <w:r>
        <w:rPr/>
        <w:fldChar w:fldCharType="separate"/>
      </w:r>
      <w:r>
        <w:rPr>
          <w:rStyle w:val="style85"/>
          <w:rFonts w:ascii="Arial" w:cs="Arial" w:hAnsi="Arial"/>
          <w:sz w:val="24"/>
          <w:szCs w:val="24"/>
          <w:lang w:val="en-US"/>
        </w:rPr>
        <w:t>https://doi.org/10.15446/revfacmed.v70n2.93814</w:t>
      </w:r>
      <w:r>
        <w:rPr/>
        <w:fldChar w:fldCharType="end"/>
      </w:r>
      <w:r>
        <w:rPr>
          <w:rFonts w:ascii="Arial" w:cs="Arial" w:hAnsi="Arial"/>
          <w:sz w:val="24"/>
          <w:szCs w:val="24"/>
          <w:lang w:val="en-US"/>
        </w:rPr>
        <w:t xml:space="preserve">. </w:t>
      </w:r>
    </w:p>
    <w:p>
      <w:pPr>
        <w:pStyle w:val="style179"/>
        <w:numPr>
          <w:ilvl w:val="0"/>
          <w:numId w:val="8"/>
        </w:numPr>
        <w:spacing w:after="0" w:lineRule="auto" w:line="360"/>
        <w:jc w:val="both"/>
        <w:rPr>
          <w:rFonts w:ascii="Arial" w:cs="Arial" w:hAnsi="Arial"/>
          <w:sz w:val="24"/>
          <w:szCs w:val="24"/>
          <w:lang w:val="en-US"/>
        </w:rPr>
      </w:pPr>
      <w:r>
        <w:rPr>
          <w:rFonts w:ascii="Arial" w:cs="Arial" w:hAnsi="Arial"/>
          <w:sz w:val="24"/>
          <w:szCs w:val="24"/>
          <w:lang w:val="en-US"/>
        </w:rPr>
        <w:t>Jones BE, Jones J, Bewick T, Lim WS, Aronsky D, Brown SM, et al. CURB-65 pneumonia severity assessment adapted for electronic decisión support. Chest. 2011;140(1):156-63.</w:t>
      </w:r>
    </w:p>
    <w:p>
      <w:pPr>
        <w:pStyle w:val="style179"/>
        <w:numPr>
          <w:ilvl w:val="0"/>
          <w:numId w:val="8"/>
        </w:numPr>
        <w:spacing w:after="0" w:lineRule="auto" w:line="360"/>
        <w:jc w:val="both"/>
        <w:rPr>
          <w:rFonts w:ascii="Arial" w:cs="Arial" w:hAnsi="Arial"/>
          <w:sz w:val="24"/>
          <w:szCs w:val="24"/>
        </w:rPr>
      </w:pPr>
      <w:r>
        <w:rPr>
          <w:rFonts w:ascii="Arial" w:cs="Arial" w:hAnsi="Arial"/>
          <w:sz w:val="24"/>
          <w:szCs w:val="24"/>
          <w:lang w:val="en-US"/>
        </w:rPr>
        <w:t xml:space="preserve">Fine MJ, Auble TE, Yealy DM, Hanusa BH, Weissfeld LA, Singer DE, et al. A prediction rule to identify low-risk patients with community-acquired pneumonia. </w:t>
      </w:r>
      <w:r>
        <w:rPr>
          <w:rFonts w:ascii="Arial" w:cs="Arial" w:hAnsi="Arial"/>
          <w:sz w:val="24"/>
          <w:szCs w:val="24"/>
        </w:rPr>
        <w:t xml:space="preserve">N Engl J Med. 1997;336:243-50. </w:t>
      </w:r>
    </w:p>
    <w:p>
      <w:pPr>
        <w:pStyle w:val="style0"/>
        <w:rPr/>
      </w:pPr>
      <w:r>
        <w:t xml:space="preserve"> </w:t>
      </w:r>
    </w:p>
    <w:p>
      <w:pPr>
        <w:pStyle w:val="style0"/>
        <w:spacing w:after="200" w:lineRule="auto" w:line="276"/>
        <w:rPr/>
      </w:pPr>
      <w:r>
        <w:br w:type="page"/>
      </w:r>
    </w:p>
    <w:p>
      <w:pPr>
        <w:pStyle w:val="style0"/>
        <w:spacing w:after="200" w:lineRule="auto" w:line="276"/>
        <w:rPr>
          <w:rFonts w:ascii="Monotype Corsiva" w:hAnsi="Monotype Corsiva"/>
          <w:sz w:val="112"/>
          <w:szCs w:val="112"/>
        </w:rPr>
      </w:pPr>
    </w:p>
    <w:p>
      <w:pPr>
        <w:pStyle w:val="style0"/>
        <w:spacing w:after="200" w:lineRule="auto" w:line="276"/>
        <w:rPr>
          <w:rFonts w:ascii="Monotype Corsiva" w:hAnsi="Monotype Corsiva"/>
          <w:sz w:val="112"/>
          <w:szCs w:val="112"/>
        </w:rPr>
      </w:pPr>
    </w:p>
    <w:p>
      <w:pPr>
        <w:pStyle w:val="style0"/>
        <w:spacing w:after="200" w:lineRule="auto" w:line="276"/>
        <w:rPr>
          <w:rFonts w:ascii="Monotype Corsiva" w:hAnsi="Monotype Corsiva"/>
          <w:sz w:val="112"/>
          <w:szCs w:val="112"/>
        </w:rPr>
      </w:pPr>
    </w:p>
    <w:p>
      <w:pPr>
        <w:pStyle w:val="style0"/>
        <w:spacing w:after="200" w:lineRule="auto" w:line="276"/>
        <w:rPr>
          <w:rFonts w:ascii="Monotype Corsiva" w:hAnsi="Monotype Corsiva"/>
          <w:sz w:val="112"/>
          <w:szCs w:val="112"/>
        </w:rPr>
      </w:pPr>
      <w:r>
        <w:rPr>
          <w:rFonts w:ascii="Monotype Corsiva" w:hAnsi="Monotype Corsiva"/>
          <w:sz w:val="112"/>
          <w:szCs w:val="112"/>
        </w:rPr>
        <w:t>Tablas y Anexos</w:t>
      </w:r>
      <w:r>
        <w:rPr>
          <w:rFonts w:ascii="Monotype Corsiva" w:hAnsi="Monotype Corsiva"/>
          <w:sz w:val="112"/>
          <w:szCs w:val="112"/>
        </w:rPr>
        <w:br w:type="page"/>
      </w:r>
    </w:p>
    <w:p>
      <w:pPr>
        <w:pStyle w:val="style0"/>
        <w:spacing w:after="0" w:lineRule="auto" w:line="360"/>
        <w:jc w:val="both"/>
        <w:rPr>
          <w:rFonts w:ascii="Arial" w:cs="Arial" w:hAnsi="Arial"/>
          <w:b/>
          <w:bCs/>
          <w:color w:val="000000"/>
          <w:sz w:val="24"/>
          <w:szCs w:val="24"/>
        </w:rPr>
      </w:pPr>
      <w:r>
        <w:rPr>
          <w:rFonts w:ascii="Arial" w:cs="Arial" w:hAnsi="Arial"/>
          <w:b/>
          <w:bCs/>
          <w:color w:val="000000"/>
          <w:sz w:val="24"/>
          <w:szCs w:val="24"/>
        </w:rPr>
        <w:t xml:space="preserve">Tabla 1. </w:t>
      </w:r>
      <w:r>
        <w:rPr>
          <w:rFonts w:ascii="Arial" w:cs="Arial" w:hAnsi="Arial"/>
          <w:b/>
          <w:color w:val="000000"/>
          <w:sz w:val="24"/>
          <w:szCs w:val="24"/>
        </w:rPr>
        <w:t xml:space="preserve">Índice pronóstico de muerte por neumonía adquirida en la comunidad en los pacientes con enfermedad pulmonar obstructiva crónica. </w:t>
      </w:r>
      <w:r>
        <w:rPr>
          <w:rFonts w:ascii="Arial" w:cs="Arial" w:hAnsi="Arial"/>
          <w:b/>
          <w:bCs/>
          <w:color w:val="000000"/>
          <w:sz w:val="24"/>
          <w:szCs w:val="24"/>
        </w:rPr>
        <w:t>Caracterización de la muestra. Variables cualitativas N = 213.</w:t>
      </w:r>
    </w:p>
    <w:p>
      <w:pPr>
        <w:pStyle w:val="style0"/>
        <w:spacing w:after="0" w:lineRule="auto" w:line="360"/>
        <w:rPr>
          <w:rFonts w:ascii="Arial" w:cs="Arial" w:hAnsi="Arial"/>
          <w:b/>
          <w:bCs/>
          <w:color w:val="000000"/>
          <w:sz w:val="24"/>
          <w:szCs w:val="24"/>
        </w:rPr>
      </w:pPr>
    </w:p>
    <w:tbl>
      <w:tblPr>
        <w:tblStyle w:val="style154"/>
        <w:tblW w:w="0" w:type="auto"/>
        <w:tblLook w:val="04A0" w:firstRow="1" w:lastRow="0" w:firstColumn="1" w:lastColumn="0" w:noHBand="0" w:noVBand="1"/>
      </w:tblPr>
      <w:tblGrid>
        <w:gridCol w:w="6466"/>
        <w:gridCol w:w="737"/>
        <w:gridCol w:w="992"/>
      </w:tblGrid>
      <w:tr>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Variables</w:t>
            </w:r>
          </w:p>
        </w:tc>
        <w:tc>
          <w:tcPr>
            <w:tcW w:w="737" w:type="dxa"/>
            <w:tcBorders/>
            <w:tcFitText w:val="false"/>
          </w:tcPr>
          <w:p>
            <w:pPr>
              <w:pStyle w:val="style0"/>
              <w:spacing w:lineRule="auto" w:line="360"/>
              <w:jc w:val="center"/>
              <w:rPr>
                <w:rFonts w:ascii="Arial" w:cs="Arial" w:hAnsi="Arial"/>
                <w:sz w:val="24"/>
                <w:szCs w:val="24"/>
              </w:rPr>
            </w:pPr>
            <w:r>
              <w:rPr>
                <w:rFonts w:ascii="Arial" w:cs="Arial" w:hAnsi="Arial"/>
                <w:sz w:val="24"/>
                <w:szCs w:val="24"/>
              </w:rPr>
              <w:t>No</w:t>
            </w:r>
          </w:p>
        </w:tc>
        <w:tc>
          <w:tcPr>
            <w:tcW w:w="992" w:type="dxa"/>
            <w:tcBorders/>
            <w:tcFitText w:val="false"/>
          </w:tcPr>
          <w:p>
            <w:pPr>
              <w:pStyle w:val="style0"/>
              <w:spacing w:lineRule="auto" w:line="360"/>
              <w:jc w:val="center"/>
              <w:rPr>
                <w:rFonts w:ascii="Arial" w:cs="Arial" w:hAnsi="Arial"/>
                <w:sz w:val="24"/>
                <w:szCs w:val="24"/>
              </w:rPr>
            </w:pPr>
            <w:r>
              <w:rPr>
                <w:rFonts w:ascii="Arial" w:cs="Arial" w:hAnsi="Arial"/>
                <w:sz w:val="24"/>
                <w:szCs w:val="24"/>
              </w:rPr>
              <w:t>%</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Sexo Femenino</w:t>
            </w:r>
          </w:p>
        </w:tc>
        <w:tc>
          <w:tcPr>
            <w:tcW w:w="737" w:type="dxa"/>
            <w:tcBorders/>
            <w:tcFitText w:val="false"/>
          </w:tcPr>
          <w:p>
            <w:pPr>
              <w:pStyle w:val="style0"/>
              <w:spacing w:lineRule="auto" w:line="360"/>
              <w:jc w:val="center"/>
              <w:rPr>
                <w:rFonts w:ascii="Arial" w:cs="Arial" w:hAnsi="Arial"/>
                <w:sz w:val="24"/>
                <w:szCs w:val="24"/>
              </w:rPr>
            </w:pPr>
            <w:r>
              <w:rPr>
                <w:rFonts w:ascii="Arial" w:cs="Arial" w:hAnsi="Arial"/>
                <w:sz w:val="24"/>
                <w:szCs w:val="24"/>
              </w:rPr>
              <w:t>151</w:t>
            </w:r>
          </w:p>
        </w:tc>
        <w:tc>
          <w:tcPr>
            <w:tcW w:w="992" w:type="dxa"/>
            <w:tcBorders/>
            <w:tcFitText w:val="false"/>
          </w:tcPr>
          <w:p>
            <w:pPr>
              <w:pStyle w:val="style0"/>
              <w:spacing w:lineRule="auto" w:line="360"/>
              <w:jc w:val="center"/>
              <w:rPr>
                <w:rFonts w:ascii="Arial" w:cs="Arial" w:hAnsi="Arial"/>
                <w:sz w:val="24"/>
                <w:szCs w:val="24"/>
              </w:rPr>
            </w:pPr>
            <w:r>
              <w:rPr>
                <w:rFonts w:ascii="Arial" w:cs="Arial" w:hAnsi="Arial"/>
                <w:sz w:val="24"/>
                <w:szCs w:val="24"/>
              </w:rPr>
              <w:t>52,1</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Sexo masculino</w:t>
            </w:r>
          </w:p>
        </w:tc>
        <w:tc>
          <w:tcPr>
            <w:tcW w:w="737" w:type="dxa"/>
            <w:tcBorders/>
            <w:tcFitText w:val="false"/>
          </w:tcPr>
          <w:p>
            <w:pPr>
              <w:pStyle w:val="style0"/>
              <w:spacing w:lineRule="auto" w:line="360"/>
              <w:jc w:val="center"/>
              <w:rPr>
                <w:rFonts w:ascii="Arial" w:cs="Arial" w:hAnsi="Arial"/>
                <w:sz w:val="24"/>
                <w:szCs w:val="24"/>
              </w:rPr>
            </w:pPr>
            <w:r>
              <w:rPr>
                <w:rFonts w:ascii="Arial" w:cs="Arial" w:hAnsi="Arial"/>
                <w:sz w:val="24"/>
                <w:szCs w:val="24"/>
              </w:rPr>
              <w:t>139</w:t>
            </w:r>
          </w:p>
        </w:tc>
        <w:tc>
          <w:tcPr>
            <w:tcW w:w="992" w:type="dxa"/>
            <w:tcBorders/>
            <w:tcFitText w:val="false"/>
          </w:tcPr>
          <w:p>
            <w:pPr>
              <w:pStyle w:val="style0"/>
              <w:spacing w:lineRule="auto" w:line="360"/>
              <w:jc w:val="center"/>
              <w:rPr>
                <w:rFonts w:ascii="Arial" w:cs="Arial" w:hAnsi="Arial"/>
                <w:sz w:val="24"/>
                <w:szCs w:val="24"/>
              </w:rPr>
            </w:pPr>
            <w:r>
              <w:rPr>
                <w:rFonts w:ascii="Arial" w:cs="Arial" w:hAnsi="Arial"/>
                <w:sz w:val="24"/>
                <w:szCs w:val="24"/>
              </w:rPr>
              <w:t>47,9</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Tabaquismo</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104</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48,8</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Neumonía multilobar</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78</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36,6</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 xml:space="preserve">Hipoxemia  </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65</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30,5</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Choque</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57</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26,8</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 xml:space="preserve">Anemia  </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54</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25,4</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Alteraciones de la conciencia</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35</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16,4</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Insuficiencia cardiaca</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31</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14,6</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Enfermedad cerebrovascular</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13</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6,1</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Derrame pleural</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13</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6,1</w:t>
            </w:r>
          </w:p>
        </w:tc>
      </w:tr>
      <w:tr>
        <w:tblPrEx/>
        <w:trPr/>
        <w:tc>
          <w:tcPr>
            <w:tcW w:w="6466" w:type="dxa"/>
            <w:tcBorders/>
            <w:tcFitText w:val="false"/>
          </w:tcPr>
          <w:p>
            <w:pPr>
              <w:pStyle w:val="style0"/>
              <w:spacing w:lineRule="auto" w:line="360"/>
              <w:rPr>
                <w:rFonts w:ascii="Arial" w:cs="Arial" w:hAnsi="Arial"/>
                <w:sz w:val="24"/>
                <w:szCs w:val="24"/>
              </w:rPr>
            </w:pPr>
            <w:r>
              <w:rPr>
                <w:rFonts w:ascii="Arial" w:cs="Arial" w:hAnsi="Arial"/>
                <w:sz w:val="24"/>
                <w:szCs w:val="24"/>
              </w:rPr>
              <w:t>Enfermedad renal crónica</w:t>
            </w:r>
          </w:p>
        </w:tc>
        <w:tc>
          <w:tcPr>
            <w:tcW w:w="737"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9</w:t>
            </w:r>
          </w:p>
        </w:tc>
        <w:tc>
          <w:tcPr>
            <w:tcW w:w="992" w:type="dxa"/>
            <w:tcBorders/>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4,2</w:t>
            </w:r>
          </w:p>
        </w:tc>
      </w:tr>
    </w:tbl>
    <w:p>
      <w:pPr>
        <w:pStyle w:val="style0"/>
        <w:spacing w:after="0" w:lineRule="auto" w:line="360"/>
        <w:rPr>
          <w:rFonts w:ascii="Arial" w:cs="Arial" w:hAnsi="Arial"/>
          <w:sz w:val="24"/>
          <w:szCs w:val="24"/>
        </w:rPr>
      </w:pPr>
    </w:p>
    <w:p>
      <w:pPr>
        <w:pStyle w:val="style0"/>
        <w:spacing w:after="0" w:lineRule="auto" w:line="360"/>
        <w:rPr>
          <w:rFonts w:ascii="Arial" w:cs="Arial" w:hAnsi="Arial"/>
          <w:sz w:val="24"/>
          <w:szCs w:val="24"/>
        </w:rPr>
      </w:pPr>
    </w:p>
    <w:p>
      <w:pPr>
        <w:pStyle w:val="style0"/>
        <w:spacing w:after="0" w:lineRule="auto" w:line="360"/>
        <w:rPr>
          <w:rFonts w:ascii="Arial" w:cs="Arial" w:hAnsi="Arial"/>
          <w:sz w:val="24"/>
          <w:szCs w:val="24"/>
        </w:rPr>
      </w:pPr>
      <w:r>
        <w:rPr>
          <w:rFonts w:ascii="Arial" w:cs="Arial" w:hAnsi="Arial"/>
          <w:sz w:val="24"/>
          <w:szCs w:val="24"/>
        </w:rPr>
        <w:br w:type="page"/>
      </w:r>
    </w:p>
    <w:p>
      <w:pPr>
        <w:pStyle w:val="style0"/>
        <w:tabs>
          <w:tab w:val="center" w:leader="none" w:pos="3830"/>
        </w:tabs>
        <w:autoSpaceDE w:val="false"/>
        <w:autoSpaceDN w:val="false"/>
        <w:adjustRightInd w:val="false"/>
        <w:spacing w:after="0" w:lineRule="auto" w:line="360"/>
        <w:jc w:val="both"/>
        <w:rPr>
          <w:rFonts w:ascii="Arial" w:cs="Arial" w:hAnsi="Arial"/>
          <w:b/>
          <w:bCs/>
          <w:color w:val="000000"/>
          <w:sz w:val="24"/>
          <w:szCs w:val="24"/>
        </w:rPr>
      </w:pPr>
      <w:r>
        <w:rPr>
          <w:rFonts w:ascii="Arial" w:cs="Arial" w:hAnsi="Arial"/>
          <w:b/>
          <w:bCs/>
          <w:sz w:val="24"/>
          <w:szCs w:val="24"/>
        </w:rPr>
        <w:t xml:space="preserve">Tabla 2. </w:t>
      </w:r>
      <w:r>
        <w:rPr>
          <w:rFonts w:ascii="Arial" w:cs="Arial" w:hAnsi="Arial"/>
          <w:b/>
          <w:color w:val="000000"/>
          <w:sz w:val="24"/>
          <w:szCs w:val="24"/>
        </w:rPr>
        <w:t xml:space="preserve">Índice pronóstico de muerte por neumonía adquirida en la comunidad en los pacientes con enfermedad pulmonar obstructiva crónica. </w:t>
      </w:r>
      <w:r>
        <w:rPr>
          <w:rFonts w:ascii="Arial" w:cs="Arial" w:hAnsi="Arial"/>
          <w:b/>
          <w:bCs/>
          <w:color w:val="000000"/>
          <w:sz w:val="24"/>
          <w:szCs w:val="24"/>
        </w:rPr>
        <w:t>Caracterización de la muestra. Variables cuantitativas N = 213.</w:t>
      </w:r>
    </w:p>
    <w:p>
      <w:pPr>
        <w:pStyle w:val="style0"/>
        <w:autoSpaceDE w:val="false"/>
        <w:autoSpaceDN w:val="false"/>
        <w:adjustRightInd w:val="false"/>
        <w:spacing w:after="0" w:lineRule="auto" w:line="360"/>
        <w:rPr>
          <w:rFonts w:ascii="Arial" w:cs="Arial" w:hAnsi="Arial"/>
          <w:sz w:val="24"/>
          <w:szCs w:val="24"/>
        </w:rPr>
      </w:pPr>
    </w:p>
    <w:p>
      <w:pPr>
        <w:pStyle w:val="style0"/>
        <w:spacing w:after="0" w:lineRule="auto" w:line="360"/>
        <w:rPr>
          <w:rFonts w:ascii="Arial" w:cs="Arial" w:hAnsi="Arial"/>
          <w:sz w:val="24"/>
          <w:szCs w:val="24"/>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134"/>
        <w:gridCol w:w="1134"/>
        <w:gridCol w:w="1134"/>
        <w:gridCol w:w="2693"/>
      </w:tblGrid>
      <w:tr>
        <w:trPr>
          <w:cantSplit/>
          <w:jc w:val="center"/>
        </w:trPr>
        <w:tc>
          <w:tcPr>
            <w:tcW w:w="1980" w:type="dxa"/>
            <w:tcBorders/>
            <w:shd w:val="clear" w:color="auto" w:fill="auto"/>
            <w:tcFitText w:val="false"/>
            <w:vAlign w:val="bottom"/>
          </w:tcPr>
          <w:p>
            <w:pPr>
              <w:pStyle w:val="style0"/>
              <w:jc w:val="center"/>
              <w:rPr>
                <w:rFonts w:ascii="Arial" w:cs="Arial" w:hAnsi="Arial"/>
                <w:sz w:val="24"/>
                <w:szCs w:val="24"/>
              </w:rPr>
            </w:pPr>
            <w:r>
              <w:rPr>
                <w:rFonts w:ascii="Arial" w:cs="Arial" w:hAnsi="Arial"/>
                <w:sz w:val="24"/>
                <w:szCs w:val="24"/>
              </w:rPr>
              <w:t>Variables</w:t>
            </w:r>
          </w:p>
        </w:tc>
        <w:tc>
          <w:tcPr>
            <w:tcW w:w="1134" w:type="dxa"/>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Mínimo</w:t>
            </w:r>
          </w:p>
        </w:tc>
        <w:tc>
          <w:tcPr>
            <w:tcW w:w="1134" w:type="dxa"/>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Máximo</w:t>
            </w:r>
          </w:p>
        </w:tc>
        <w:tc>
          <w:tcPr>
            <w:tcW w:w="1134" w:type="dxa"/>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Media</w:t>
            </w:r>
          </w:p>
        </w:tc>
        <w:tc>
          <w:tcPr>
            <w:tcW w:w="2693" w:type="dxa"/>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Desviación estándar</w:t>
            </w:r>
          </w:p>
        </w:tc>
      </w:tr>
      <w:tr>
        <w:tblPrEx/>
        <w:trPr>
          <w:cantSplit/>
          <w:jc w:val="center"/>
        </w:trPr>
        <w:tc>
          <w:tcPr>
            <w:tcW w:w="1980"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Edad</w:t>
            </w:r>
          </w:p>
        </w:tc>
        <w:tc>
          <w:tcPr>
            <w:tcW w:w="1134"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31</w:t>
            </w:r>
          </w:p>
        </w:tc>
        <w:tc>
          <w:tcPr>
            <w:tcW w:w="1134"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105</w:t>
            </w:r>
          </w:p>
        </w:tc>
        <w:tc>
          <w:tcPr>
            <w:tcW w:w="1134"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70,85</w:t>
            </w:r>
          </w:p>
        </w:tc>
        <w:tc>
          <w:tcPr>
            <w:tcW w:w="2693"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13,49</w:t>
            </w:r>
          </w:p>
        </w:tc>
      </w:tr>
      <w:tr>
        <w:tblPrEx/>
        <w:trPr>
          <w:cantSplit/>
          <w:jc w:val="center"/>
        </w:trPr>
        <w:tc>
          <w:tcPr>
            <w:tcW w:w="1980"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Estadía (días)</w:t>
            </w:r>
          </w:p>
        </w:tc>
        <w:tc>
          <w:tcPr>
            <w:tcW w:w="1134"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0</w:t>
            </w:r>
          </w:p>
        </w:tc>
        <w:tc>
          <w:tcPr>
            <w:tcW w:w="1134"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39</w:t>
            </w:r>
          </w:p>
        </w:tc>
        <w:tc>
          <w:tcPr>
            <w:tcW w:w="1134"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6,61</w:t>
            </w:r>
          </w:p>
        </w:tc>
        <w:tc>
          <w:tcPr>
            <w:tcW w:w="2693" w:type="dxa"/>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5,33</w:t>
            </w:r>
          </w:p>
        </w:tc>
      </w:tr>
    </w:tbl>
    <w:p>
      <w:pPr>
        <w:pStyle w:val="style0"/>
        <w:spacing w:after="0" w:lineRule="auto" w:line="360"/>
        <w:rPr>
          <w:rFonts w:ascii="Arial" w:cs="Arial" w:hAnsi="Arial"/>
          <w:sz w:val="24"/>
          <w:szCs w:val="24"/>
        </w:rPr>
      </w:pPr>
    </w:p>
    <w:p>
      <w:pPr>
        <w:pStyle w:val="style0"/>
        <w:rPr>
          <w:rFonts w:ascii="Arial" w:cs="Arial" w:hAnsi="Arial"/>
          <w:sz w:val="24"/>
          <w:szCs w:val="24"/>
        </w:rPr>
      </w:pPr>
      <w:r>
        <w:rPr>
          <w:rFonts w:ascii="Arial" w:cs="Arial" w:hAnsi="Arial"/>
          <w:sz w:val="24"/>
          <w:szCs w:val="24"/>
        </w:rPr>
        <w:br w:type="page"/>
      </w:r>
    </w:p>
    <w:p>
      <w:pPr>
        <w:pStyle w:val="style0"/>
        <w:spacing w:after="0" w:lineRule="auto" w:line="360"/>
        <w:jc w:val="both"/>
        <w:rPr>
          <w:rFonts w:ascii="Arial" w:cs="Arial" w:hAnsi="Arial"/>
          <w:b/>
          <w:sz w:val="24"/>
          <w:szCs w:val="24"/>
        </w:rPr>
      </w:pPr>
      <w:r>
        <w:rPr>
          <w:rFonts w:ascii="Arial" w:cs="Arial" w:hAnsi="Arial"/>
          <w:b/>
          <w:sz w:val="24"/>
          <w:szCs w:val="24"/>
        </w:rPr>
        <w:t xml:space="preserve">Tabla 3. </w:t>
      </w:r>
      <w:r>
        <w:rPr>
          <w:rFonts w:ascii="Arial" w:cs="Arial" w:hAnsi="Arial"/>
          <w:b/>
          <w:color w:val="000000"/>
          <w:sz w:val="24"/>
          <w:szCs w:val="24"/>
        </w:rPr>
        <w:t>Índice pronóstico de muerte por neumonía adquirida en la comunidad en los pacientes con enfermedad pulmonar obstructiva crónica.</w:t>
      </w:r>
      <w:r>
        <w:rPr>
          <w:rFonts w:ascii="Arial" w:cs="Arial" w:hAnsi="Arial"/>
          <w:b/>
          <w:sz w:val="24"/>
          <w:szCs w:val="24"/>
        </w:rPr>
        <w:t xml:space="preserve"> Factores sociodemográficos</w:t>
      </w:r>
      <w:r>
        <w:rPr>
          <w:rFonts w:ascii="Arial" w:cs="Arial" w:hAnsi="Arial"/>
          <w:b/>
          <w:sz w:val="24"/>
          <w:szCs w:val="24"/>
        </w:rPr>
        <w:t>,</w:t>
      </w:r>
      <w:r>
        <w:rPr>
          <w:rFonts w:ascii="Arial" w:cs="Arial" w:hAnsi="Arial"/>
          <w:b/>
          <w:sz w:val="24"/>
          <w:szCs w:val="24"/>
        </w:rPr>
        <w:t xml:space="preserve"> hábitos tóxicos</w:t>
      </w:r>
      <w:r>
        <w:rPr>
          <w:rFonts w:ascii="Arial" w:cs="Arial" w:hAnsi="Arial"/>
          <w:b/>
          <w:sz w:val="24"/>
          <w:szCs w:val="24"/>
        </w:rPr>
        <w:t xml:space="preserve"> </w:t>
      </w:r>
      <w:r>
        <w:rPr>
          <w:rFonts w:ascii="Arial" w:cs="Arial" w:hAnsi="Arial"/>
          <w:b/>
          <w:sz w:val="24"/>
          <w:szCs w:val="24"/>
        </w:rPr>
        <w:t>y</w:t>
      </w:r>
      <w:r>
        <w:rPr>
          <w:rFonts w:ascii="Arial" w:cs="Arial" w:hAnsi="Arial"/>
          <w:b/>
          <w:sz w:val="24"/>
          <w:szCs w:val="24"/>
        </w:rPr>
        <w:t xml:space="preserve"> estadía</w:t>
      </w:r>
      <w:r>
        <w:rPr>
          <w:rFonts w:ascii="Arial" w:cs="Arial" w:hAnsi="Arial"/>
          <w:b/>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276"/>
        <w:gridCol w:w="992"/>
        <w:gridCol w:w="1559"/>
        <w:gridCol w:w="2107"/>
        <w:gridCol w:w="983"/>
      </w:tblGrid>
      <w:tr>
        <w:trPr>
          <w:trHeight w:val="456" w:hRule="atLeast"/>
        </w:trPr>
        <w:tc>
          <w:tcPr>
            <w:tcW w:w="1413" w:type="dxa"/>
            <w:vMerge w:val="restart"/>
            <w:tcBorders/>
            <w:shd w:val="clear" w:color="auto" w:fill="auto"/>
            <w:tcFitText w:val="false"/>
          </w:tcPr>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Variables</w:t>
            </w:r>
          </w:p>
        </w:tc>
        <w:tc>
          <w:tcPr>
            <w:tcW w:w="1559" w:type="dxa"/>
            <w:tcBorders/>
            <w:shd w:val="clear" w:color="auto" w:fill="auto"/>
            <w:tcFitText w:val="false"/>
          </w:tcPr>
          <w:p>
            <w:pPr>
              <w:pStyle w:val="style0"/>
              <w:spacing w:after="0" w:lineRule="auto" w:line="360"/>
              <w:rPr>
                <w:rFonts w:ascii="Arial" w:cs="Arial" w:hAnsi="Arial"/>
                <w:b/>
                <w:sz w:val="24"/>
                <w:szCs w:val="24"/>
              </w:rPr>
            </w:pPr>
            <w:r>
              <w:rPr>
                <w:rFonts w:ascii="Arial" w:cs="Arial" w:hAnsi="Arial"/>
                <w:b/>
                <w:sz w:val="24"/>
                <w:szCs w:val="24"/>
              </w:rPr>
              <w:t>Fallecidos</w:t>
            </w:r>
          </w:p>
        </w:tc>
        <w:tc>
          <w:tcPr>
            <w:tcW w:w="1276" w:type="dxa"/>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Vivos</w:t>
            </w:r>
          </w:p>
        </w:tc>
        <w:tc>
          <w:tcPr>
            <w:tcW w:w="992" w:type="dxa"/>
            <w:vMerge w:val="restart"/>
            <w:tcBorders/>
            <w:shd w:val="clear" w:color="auto" w:fill="auto"/>
            <w:tcFitText w:val="false"/>
          </w:tcPr>
          <w:p>
            <w:pPr>
              <w:pStyle w:val="style0"/>
              <w:spacing w:after="0" w:lineRule="auto" w:line="360"/>
              <w:jc w:val="center"/>
              <w:rPr>
                <w:rFonts w:ascii="Arial" w:cs="Arial" w:hAnsi="Arial"/>
                <w:b/>
                <w:sz w:val="24"/>
                <w:szCs w:val="24"/>
              </w:rPr>
            </w:pPr>
          </w:p>
          <w:p>
            <w:pPr>
              <w:pStyle w:val="style0"/>
              <w:spacing w:after="0" w:lineRule="auto" w:line="360"/>
              <w:jc w:val="center"/>
              <w:rPr>
                <w:rFonts w:ascii="Arial" w:cs="Arial" w:hAnsi="Arial"/>
                <w:b/>
                <w:sz w:val="24"/>
                <w:szCs w:val="24"/>
              </w:rPr>
            </w:pPr>
            <w:r>
              <w:rPr>
                <w:rFonts w:ascii="Arial" w:cs="Arial" w:hAnsi="Arial"/>
                <w:b/>
                <w:sz w:val="24"/>
                <w:szCs w:val="24"/>
              </w:rPr>
              <w:t>RR</w:t>
            </w:r>
          </w:p>
        </w:tc>
        <w:tc>
          <w:tcPr>
            <w:tcW w:w="3666" w:type="dxa"/>
            <w:gridSpan w:val="2"/>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Intervalo de confianza al 95%</w:t>
            </w:r>
          </w:p>
        </w:tc>
        <w:tc>
          <w:tcPr>
            <w:tcW w:w="983" w:type="dxa"/>
            <w:vMerge w:val="restart"/>
            <w:tcBorders/>
            <w:shd w:val="clear" w:color="auto" w:fill="auto"/>
            <w:tcFitText w:val="false"/>
          </w:tcPr>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*p</w:t>
            </w:r>
          </w:p>
        </w:tc>
      </w:tr>
      <w:tr>
        <w:tblPrEx/>
        <w:trPr/>
        <w:tc>
          <w:tcPr>
            <w:tcW w:w="1413" w:type="dxa"/>
            <w:vMerge w:val="continue"/>
            <w:tcBorders/>
            <w:shd w:val="clear" w:color="auto" w:fill="auto"/>
            <w:tcFitText w:val="false"/>
          </w:tcPr>
          <w:p>
            <w:pPr>
              <w:pStyle w:val="style0"/>
              <w:spacing w:after="0" w:lineRule="auto" w:line="360"/>
              <w:jc w:val="both"/>
              <w:rPr>
                <w:rFonts w:ascii="Arial" w:cs="Arial" w:hAnsi="Arial"/>
                <w:b/>
                <w:sz w:val="24"/>
                <w:szCs w:val="24"/>
              </w:rPr>
            </w:pPr>
          </w:p>
        </w:tc>
        <w:tc>
          <w:tcPr>
            <w:tcW w:w="1559" w:type="dxa"/>
            <w:tcBorders/>
            <w:shd w:val="clear" w:color="auto" w:fill="auto"/>
            <w:tcFitText w:val="false"/>
          </w:tcPr>
          <w:p>
            <w:pPr>
              <w:pStyle w:val="style0"/>
              <w:spacing w:after="0" w:lineRule="auto" w:line="360"/>
              <w:rPr>
                <w:rFonts w:ascii="Arial" w:cs="Arial" w:hAnsi="Arial"/>
                <w:b/>
                <w:sz w:val="24"/>
                <w:szCs w:val="24"/>
              </w:rPr>
            </w:pPr>
            <w:r>
              <w:rPr>
                <w:rFonts w:ascii="Arial" w:cs="Arial" w:hAnsi="Arial"/>
                <w:b/>
                <w:sz w:val="24"/>
                <w:szCs w:val="24"/>
              </w:rPr>
              <w:t>No          %</w:t>
            </w:r>
          </w:p>
        </w:tc>
        <w:tc>
          <w:tcPr>
            <w:tcW w:w="1276" w:type="dxa"/>
            <w:tcBorders/>
            <w:shd w:val="clear" w:color="auto" w:fill="auto"/>
            <w:tcFitText w:val="false"/>
          </w:tcPr>
          <w:p>
            <w:pPr>
              <w:pStyle w:val="style0"/>
              <w:spacing w:after="0" w:lineRule="auto" w:line="360"/>
              <w:jc w:val="both"/>
              <w:rPr>
                <w:rFonts w:ascii="Arial" w:cs="Arial" w:hAnsi="Arial"/>
                <w:b/>
                <w:sz w:val="24"/>
                <w:szCs w:val="24"/>
              </w:rPr>
            </w:pPr>
            <w:r>
              <w:rPr>
                <w:rFonts w:ascii="Arial" w:cs="Arial" w:hAnsi="Arial"/>
                <w:b/>
                <w:sz w:val="24"/>
                <w:szCs w:val="24"/>
              </w:rPr>
              <w:t>No          %</w:t>
            </w:r>
          </w:p>
        </w:tc>
        <w:tc>
          <w:tcPr>
            <w:tcW w:w="992" w:type="dxa"/>
            <w:vMerge w:val="continue"/>
            <w:tcBorders/>
            <w:shd w:val="clear" w:color="auto" w:fill="auto"/>
            <w:tcFitText w:val="false"/>
          </w:tcPr>
          <w:p>
            <w:pPr>
              <w:pStyle w:val="style0"/>
              <w:spacing w:after="0" w:lineRule="auto" w:line="360"/>
              <w:jc w:val="center"/>
              <w:rPr>
                <w:rFonts w:ascii="Arial" w:cs="Arial" w:hAnsi="Arial"/>
                <w:b/>
                <w:sz w:val="24"/>
                <w:szCs w:val="24"/>
              </w:rPr>
            </w:pPr>
          </w:p>
        </w:tc>
        <w:tc>
          <w:tcPr>
            <w:tcW w:w="1559" w:type="dxa"/>
            <w:vMerge w:val="restart"/>
            <w:tcBorders/>
            <w:shd w:val="clear" w:color="auto" w:fill="auto"/>
            <w:tcFitText w:val="false"/>
          </w:tcPr>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Inferior</w:t>
            </w:r>
          </w:p>
        </w:tc>
        <w:tc>
          <w:tcPr>
            <w:tcW w:w="2107" w:type="dxa"/>
            <w:vMerge w:val="restart"/>
            <w:tcBorders/>
            <w:shd w:val="clear" w:color="auto" w:fill="auto"/>
            <w:tcFitText w:val="false"/>
          </w:tcPr>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Superior</w:t>
            </w:r>
          </w:p>
        </w:tc>
        <w:tc>
          <w:tcPr>
            <w:tcW w:w="983" w:type="dxa"/>
            <w:vMerge w:val="continue"/>
            <w:tcBorders/>
            <w:shd w:val="clear" w:color="auto" w:fill="auto"/>
            <w:tcFitText w:val="false"/>
          </w:tcPr>
          <w:p>
            <w:pPr>
              <w:pStyle w:val="style0"/>
              <w:spacing w:after="0" w:lineRule="auto" w:line="360"/>
              <w:jc w:val="both"/>
              <w:rPr>
                <w:rFonts w:ascii="Arial" w:cs="Arial" w:hAnsi="Arial"/>
                <w:b/>
                <w:sz w:val="24"/>
                <w:szCs w:val="24"/>
              </w:rPr>
            </w:pPr>
          </w:p>
        </w:tc>
      </w:tr>
      <w:tr>
        <w:tblPrEx/>
        <w:trPr/>
        <w:tc>
          <w:tcPr>
            <w:tcW w:w="1413" w:type="dxa"/>
            <w:vMerge w:val="continue"/>
            <w:tcBorders/>
            <w:shd w:val="clear" w:color="auto" w:fill="auto"/>
            <w:tcFitText w:val="false"/>
          </w:tcPr>
          <w:p>
            <w:pPr>
              <w:pStyle w:val="style0"/>
              <w:spacing w:after="0" w:lineRule="auto" w:line="360"/>
              <w:jc w:val="both"/>
              <w:rPr>
                <w:rFonts w:ascii="Arial" w:cs="Arial" w:hAnsi="Arial"/>
                <w:b/>
                <w:sz w:val="24"/>
                <w:szCs w:val="24"/>
              </w:rPr>
            </w:pPr>
          </w:p>
        </w:tc>
        <w:tc>
          <w:tcPr>
            <w:tcW w:w="1559" w:type="dxa"/>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N= 92</w:t>
            </w:r>
          </w:p>
        </w:tc>
        <w:tc>
          <w:tcPr>
            <w:tcW w:w="1276" w:type="dxa"/>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N=  121</w:t>
            </w:r>
          </w:p>
        </w:tc>
        <w:tc>
          <w:tcPr>
            <w:tcW w:w="992" w:type="dxa"/>
            <w:vMerge w:val="continue"/>
            <w:tcBorders/>
            <w:shd w:val="clear" w:color="auto" w:fill="auto"/>
            <w:tcFitText w:val="false"/>
          </w:tcPr>
          <w:p>
            <w:pPr>
              <w:pStyle w:val="style0"/>
              <w:spacing w:after="0" w:lineRule="auto" w:line="360"/>
              <w:jc w:val="center"/>
              <w:rPr>
                <w:rFonts w:ascii="Arial" w:cs="Arial" w:hAnsi="Arial"/>
                <w:b/>
                <w:sz w:val="24"/>
                <w:szCs w:val="24"/>
              </w:rPr>
            </w:pPr>
          </w:p>
        </w:tc>
        <w:tc>
          <w:tcPr>
            <w:tcW w:w="1559" w:type="dxa"/>
            <w:vMerge w:val="continue"/>
            <w:tcBorders/>
            <w:shd w:val="clear" w:color="auto" w:fill="auto"/>
            <w:tcFitText w:val="false"/>
          </w:tcPr>
          <w:p>
            <w:pPr>
              <w:pStyle w:val="style0"/>
              <w:spacing w:after="0" w:lineRule="auto" w:line="360"/>
              <w:jc w:val="both"/>
              <w:rPr>
                <w:rFonts w:ascii="Arial" w:cs="Arial" w:hAnsi="Arial"/>
                <w:b/>
                <w:sz w:val="24"/>
                <w:szCs w:val="24"/>
              </w:rPr>
            </w:pPr>
          </w:p>
        </w:tc>
        <w:tc>
          <w:tcPr>
            <w:tcW w:w="2107" w:type="dxa"/>
            <w:vMerge w:val="continue"/>
            <w:tcBorders/>
            <w:shd w:val="clear" w:color="auto" w:fill="auto"/>
            <w:tcFitText w:val="false"/>
          </w:tcPr>
          <w:p>
            <w:pPr>
              <w:pStyle w:val="style0"/>
              <w:spacing w:after="0" w:lineRule="auto" w:line="360"/>
              <w:jc w:val="both"/>
              <w:rPr>
                <w:rFonts w:ascii="Arial" w:cs="Arial" w:hAnsi="Arial"/>
                <w:b/>
                <w:sz w:val="24"/>
                <w:szCs w:val="24"/>
              </w:rPr>
            </w:pPr>
          </w:p>
        </w:tc>
        <w:tc>
          <w:tcPr>
            <w:tcW w:w="983" w:type="dxa"/>
            <w:vMerge w:val="continue"/>
            <w:tcBorders/>
            <w:shd w:val="clear" w:color="auto" w:fill="auto"/>
            <w:tcFitText w:val="false"/>
          </w:tcPr>
          <w:p>
            <w:pPr>
              <w:pStyle w:val="style0"/>
              <w:spacing w:after="0" w:lineRule="auto" w:line="360"/>
              <w:jc w:val="both"/>
              <w:rPr>
                <w:rFonts w:ascii="Arial" w:cs="Arial" w:hAnsi="Arial"/>
                <w:b/>
                <w:sz w:val="24"/>
                <w:szCs w:val="24"/>
              </w:rPr>
            </w:pPr>
          </w:p>
        </w:tc>
      </w:tr>
      <w:tr>
        <w:tblPrEx/>
        <w:trPr/>
        <w:tc>
          <w:tcPr>
            <w:tcW w:w="9889" w:type="dxa"/>
            <w:gridSpan w:val="7"/>
            <w:tcBorders/>
            <w:shd w:val="clear" w:color="auto" w:fill="auto"/>
            <w:tcFitText w:val="false"/>
          </w:tcPr>
          <w:p>
            <w:pPr>
              <w:pStyle w:val="style0"/>
              <w:autoSpaceDE w:val="false"/>
              <w:autoSpaceDN w:val="false"/>
              <w:adjustRightInd w:val="false"/>
              <w:spacing w:after="0" w:lineRule="auto" w:line="360"/>
              <w:jc w:val="center"/>
              <w:rPr>
                <w:rFonts w:ascii="Arial" w:cs="Arial" w:hAnsi="Arial"/>
                <w:b/>
                <w:color w:val="000000"/>
                <w:sz w:val="24"/>
                <w:szCs w:val="24"/>
              </w:rPr>
            </w:pPr>
            <w:r>
              <w:rPr>
                <w:rFonts w:ascii="Arial" w:cs="Arial" w:hAnsi="Arial"/>
                <w:b/>
                <w:sz w:val="24"/>
                <w:szCs w:val="24"/>
              </w:rPr>
              <w:t>Edad ≥ 65 años</w:t>
            </w:r>
          </w:p>
        </w:tc>
      </w:tr>
      <w:tr>
        <w:tblPrEx/>
        <w:trPr/>
        <w:tc>
          <w:tcPr>
            <w:tcW w:w="1413" w:type="dxa"/>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62</w:t>
            </w:r>
            <w:r>
              <w:rPr>
                <w:rFonts w:ascii="Arial" w:cs="Arial" w:hAnsi="Arial"/>
                <w:color w:val="010205"/>
                <w:sz w:val="24"/>
                <w:szCs w:val="24"/>
              </w:rPr>
              <w:t xml:space="preserve">   </w:t>
            </w:r>
            <w:r>
              <w:rPr>
                <w:rFonts w:ascii="Arial" w:cs="Arial" w:hAnsi="Arial"/>
                <w:color w:val="010205"/>
                <w:sz w:val="24"/>
                <w:szCs w:val="24"/>
              </w:rPr>
              <w:t>53,4</w:t>
            </w:r>
          </w:p>
        </w:tc>
        <w:tc>
          <w:tcPr>
            <w:tcW w:w="1276"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5</w:t>
            </w:r>
            <w:r>
              <w:rPr>
                <w:rFonts w:ascii="Arial" w:cs="Arial" w:hAnsi="Arial"/>
                <w:color w:val="010205"/>
                <w:sz w:val="24"/>
                <w:szCs w:val="24"/>
              </w:rPr>
              <w:t>4</w:t>
            </w:r>
            <w:r>
              <w:rPr>
                <w:rFonts w:ascii="Arial" w:cs="Arial" w:hAnsi="Arial"/>
                <w:color w:val="010205"/>
                <w:sz w:val="24"/>
                <w:szCs w:val="24"/>
              </w:rPr>
              <w:t xml:space="preserve">  </w:t>
            </w:r>
            <w:r>
              <w:rPr>
                <w:rFonts w:ascii="Arial" w:cs="Arial" w:hAnsi="Arial"/>
                <w:color w:val="010205"/>
                <w:sz w:val="24"/>
                <w:szCs w:val="24"/>
              </w:rPr>
              <w:t>46,6</w:t>
            </w:r>
          </w:p>
        </w:tc>
        <w:tc>
          <w:tcPr>
            <w:tcW w:w="992"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1,75</w:t>
            </w:r>
          </w:p>
        </w:tc>
        <w:tc>
          <w:tcPr>
            <w:tcW w:w="1559"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1,22</w:t>
            </w:r>
          </w:p>
        </w:tc>
        <w:tc>
          <w:tcPr>
            <w:tcW w:w="2107"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2,43</w:t>
            </w:r>
          </w:p>
        </w:tc>
        <w:tc>
          <w:tcPr>
            <w:tcW w:w="983" w:type="dxa"/>
            <w:vMerge w:val="restart"/>
            <w:tcBorders/>
            <w:shd w:val="clear" w:color="auto" w:fill="auto"/>
            <w:tcFitText w:val="false"/>
          </w:tcPr>
          <w:p>
            <w:pPr>
              <w:pStyle w:val="style0"/>
              <w:spacing w:after="0" w:lineRule="auto" w:line="360"/>
              <w:jc w:val="center"/>
              <w:rPr>
                <w:rFonts w:ascii="Arial" w:cs="Arial" w:hAnsi="Arial"/>
                <w:sz w:val="24"/>
                <w:szCs w:val="24"/>
              </w:rPr>
            </w:pPr>
          </w:p>
          <w:p>
            <w:pPr>
              <w:pStyle w:val="style0"/>
              <w:spacing w:after="0" w:lineRule="auto" w:line="360"/>
              <w:jc w:val="center"/>
              <w:rPr>
                <w:rFonts w:ascii="Arial" w:cs="Arial" w:hAnsi="Arial"/>
                <w:sz w:val="24"/>
                <w:szCs w:val="24"/>
              </w:rPr>
            </w:pPr>
            <w:r>
              <w:rPr>
                <w:rFonts w:ascii="Arial" w:cs="Arial" w:hAnsi="Arial"/>
                <w:sz w:val="24"/>
                <w:szCs w:val="24"/>
              </w:rPr>
              <w:t>0,</w:t>
            </w:r>
            <w:r>
              <w:rPr>
                <w:rFonts w:ascii="Arial" w:cs="Arial" w:hAnsi="Arial"/>
                <w:sz w:val="24"/>
                <w:szCs w:val="24"/>
              </w:rPr>
              <w:t>000</w:t>
            </w:r>
          </w:p>
        </w:tc>
      </w:tr>
      <w:tr>
        <w:tblPrEx/>
        <w:trPr/>
        <w:tc>
          <w:tcPr>
            <w:tcW w:w="1413" w:type="dxa"/>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No</w:t>
            </w:r>
          </w:p>
        </w:tc>
        <w:tc>
          <w:tcPr>
            <w:tcW w:w="1559"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34   48,6</w:t>
            </w:r>
          </w:p>
        </w:tc>
        <w:tc>
          <w:tcPr>
            <w:tcW w:w="1276"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36   51,4</w:t>
            </w:r>
          </w:p>
        </w:tc>
        <w:tc>
          <w:tcPr>
            <w:tcW w:w="992"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360"/>
              <w:jc w:val="center"/>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Hábito de fumar</w:t>
            </w:r>
          </w:p>
        </w:tc>
      </w:tr>
      <w:tr>
        <w:tblPrEx/>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48   46,2</w:t>
            </w:r>
          </w:p>
        </w:tc>
        <w:tc>
          <w:tcPr>
            <w:tcW w:w="1276"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56  53,8</w:t>
            </w:r>
          </w:p>
        </w:tc>
        <w:tc>
          <w:tcPr>
            <w:tcW w:w="992" w:type="dxa"/>
            <w:vMerge w:val="restart"/>
            <w:tcBorders/>
            <w:shd w:val="clear" w:color="auto" w:fill="auto"/>
            <w:tcFitText w:val="false"/>
          </w:tcPr>
          <w:p>
            <w:pPr>
              <w:pStyle w:val="style0"/>
              <w:spacing w:after="0" w:lineRule="auto" w:line="360"/>
              <w:jc w:val="center"/>
              <w:rPr>
                <w:rFonts w:ascii="Arial" w:cs="Arial" w:hAnsi="Arial"/>
                <w:sz w:val="24"/>
                <w:szCs w:val="24"/>
              </w:rPr>
            </w:pPr>
          </w:p>
          <w:p>
            <w:pPr>
              <w:pStyle w:val="style0"/>
              <w:spacing w:after="0" w:lineRule="auto" w:line="360"/>
              <w:jc w:val="center"/>
              <w:rPr>
                <w:rFonts w:ascii="Arial" w:cs="Arial" w:hAnsi="Arial"/>
                <w:sz w:val="24"/>
                <w:szCs w:val="24"/>
              </w:rPr>
            </w:pPr>
            <w:r>
              <w:rPr>
                <w:rFonts w:ascii="Arial" w:cs="Arial" w:hAnsi="Arial"/>
                <w:sz w:val="24"/>
                <w:szCs w:val="24"/>
              </w:rPr>
              <w:t>1,</w:t>
            </w:r>
            <w:r>
              <w:rPr>
                <w:rFonts w:ascii="Arial" w:cs="Arial" w:hAnsi="Arial"/>
                <w:sz w:val="24"/>
                <w:szCs w:val="24"/>
              </w:rPr>
              <w:t>3</w:t>
            </w:r>
            <w:r>
              <w:rPr>
                <w:rFonts w:ascii="Arial" w:cs="Arial" w:hAnsi="Arial"/>
                <w:sz w:val="24"/>
                <w:szCs w:val="24"/>
              </w:rPr>
              <w:t>4</w:t>
            </w:r>
          </w:p>
        </w:tc>
        <w:tc>
          <w:tcPr>
            <w:tcW w:w="1559"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1</w:t>
            </w:r>
            <w:r>
              <w:rPr>
                <w:rFonts w:ascii="Arial" w:cs="Arial" w:hAnsi="Arial"/>
                <w:color w:val="010205"/>
                <w:sz w:val="24"/>
                <w:szCs w:val="24"/>
              </w:rPr>
              <w:t>,</w:t>
            </w:r>
            <w:r>
              <w:rPr>
                <w:rFonts w:ascii="Arial" w:cs="Arial" w:hAnsi="Arial"/>
                <w:color w:val="010205"/>
                <w:sz w:val="24"/>
                <w:szCs w:val="24"/>
              </w:rPr>
              <w:t>0</w:t>
            </w:r>
            <w:r>
              <w:rPr>
                <w:rFonts w:ascii="Arial" w:cs="Arial" w:hAnsi="Arial"/>
                <w:color w:val="010205"/>
                <w:sz w:val="24"/>
                <w:szCs w:val="24"/>
              </w:rPr>
              <w:t>4</w:t>
            </w:r>
          </w:p>
        </w:tc>
        <w:tc>
          <w:tcPr>
            <w:tcW w:w="2107"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1,55</w:t>
            </w:r>
          </w:p>
        </w:tc>
        <w:tc>
          <w:tcPr>
            <w:tcW w:w="983" w:type="dxa"/>
            <w:vMerge w:val="restart"/>
            <w:tcBorders/>
            <w:shd w:val="clear" w:color="auto" w:fill="auto"/>
            <w:tcFitText w:val="false"/>
          </w:tcPr>
          <w:p>
            <w:pPr>
              <w:pStyle w:val="style0"/>
              <w:spacing w:after="0" w:lineRule="auto" w:line="360"/>
              <w:jc w:val="center"/>
              <w:rPr>
                <w:rFonts w:ascii="Arial" w:cs="Arial" w:hAnsi="Arial"/>
                <w:sz w:val="24"/>
                <w:szCs w:val="24"/>
              </w:rPr>
            </w:pPr>
          </w:p>
          <w:p>
            <w:pPr>
              <w:pStyle w:val="style0"/>
              <w:spacing w:after="0" w:lineRule="auto" w:line="360"/>
              <w:jc w:val="center"/>
              <w:rPr>
                <w:rFonts w:ascii="Arial" w:cs="Arial" w:hAnsi="Arial"/>
                <w:sz w:val="24"/>
                <w:szCs w:val="24"/>
              </w:rPr>
            </w:pPr>
            <w:r>
              <w:rPr>
                <w:rFonts w:ascii="Arial" w:cs="Arial" w:hAnsi="Arial"/>
                <w:sz w:val="24"/>
                <w:szCs w:val="24"/>
              </w:rPr>
              <w:t>0,</w:t>
            </w:r>
            <w:r>
              <w:rPr>
                <w:rFonts w:ascii="Arial" w:cs="Arial" w:hAnsi="Arial"/>
                <w:sz w:val="24"/>
                <w:szCs w:val="24"/>
              </w:rPr>
              <w:t>0</w:t>
            </w:r>
            <w:r>
              <w:rPr>
                <w:rFonts w:ascii="Arial" w:cs="Arial" w:hAnsi="Arial"/>
                <w:sz w:val="24"/>
                <w:szCs w:val="24"/>
              </w:rPr>
              <w:t>4</w:t>
            </w:r>
            <w:r>
              <w:rPr>
                <w:rFonts w:ascii="Arial" w:cs="Arial" w:hAnsi="Arial"/>
                <w:sz w:val="24"/>
                <w:szCs w:val="24"/>
              </w:rPr>
              <w:t>5</w:t>
            </w:r>
          </w:p>
        </w:tc>
      </w:tr>
      <w:tr>
        <w:tblPrEx/>
        <w:trPr>
          <w:trHeight w:val="338" w:hRule="atLeast"/>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44   40,4</w:t>
            </w:r>
          </w:p>
        </w:tc>
        <w:tc>
          <w:tcPr>
            <w:tcW w:w="1276"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65  59,6</w:t>
            </w:r>
          </w:p>
        </w:tc>
        <w:tc>
          <w:tcPr>
            <w:tcW w:w="992"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360"/>
              <w:jc w:val="center"/>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Alcoholismo</w:t>
            </w:r>
          </w:p>
        </w:tc>
      </w:tr>
      <w:tr>
        <w:tblPrEx/>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8    53,3</w:t>
            </w:r>
          </w:p>
        </w:tc>
        <w:tc>
          <w:tcPr>
            <w:tcW w:w="1276"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7   36,7</w:t>
            </w:r>
          </w:p>
        </w:tc>
        <w:tc>
          <w:tcPr>
            <w:tcW w:w="992" w:type="dxa"/>
            <w:vMerge w:val="restart"/>
            <w:tcBorders/>
            <w:shd w:val="clear" w:color="auto" w:fill="auto"/>
            <w:tcFitText w:val="false"/>
          </w:tcPr>
          <w:p>
            <w:pPr>
              <w:pStyle w:val="style0"/>
              <w:spacing w:after="0" w:lineRule="auto" w:line="360"/>
              <w:jc w:val="center"/>
              <w:rPr>
                <w:rFonts w:ascii="Arial" w:cs="Arial" w:hAnsi="Arial"/>
                <w:sz w:val="24"/>
                <w:szCs w:val="24"/>
              </w:rPr>
            </w:pPr>
          </w:p>
          <w:p>
            <w:pPr>
              <w:pStyle w:val="style0"/>
              <w:spacing w:after="0" w:lineRule="auto" w:line="360"/>
              <w:jc w:val="center"/>
              <w:rPr>
                <w:rFonts w:ascii="Arial" w:cs="Arial" w:hAnsi="Arial"/>
                <w:sz w:val="24"/>
                <w:szCs w:val="24"/>
              </w:rPr>
            </w:pPr>
            <w:r>
              <w:rPr>
                <w:rFonts w:ascii="Arial" w:cs="Arial" w:hAnsi="Arial"/>
                <w:sz w:val="24"/>
                <w:szCs w:val="24"/>
              </w:rPr>
              <w:t>1,25</w:t>
            </w:r>
          </w:p>
        </w:tc>
        <w:tc>
          <w:tcPr>
            <w:tcW w:w="1559"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0,76</w:t>
            </w:r>
          </w:p>
        </w:tc>
        <w:tc>
          <w:tcPr>
            <w:tcW w:w="2107"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2,07</w:t>
            </w:r>
          </w:p>
        </w:tc>
        <w:tc>
          <w:tcPr>
            <w:tcW w:w="983" w:type="dxa"/>
            <w:vMerge w:val="restart"/>
            <w:tcBorders/>
            <w:shd w:val="clear" w:color="auto" w:fill="auto"/>
            <w:tcFitText w:val="false"/>
          </w:tcPr>
          <w:p>
            <w:pPr>
              <w:pStyle w:val="style0"/>
              <w:spacing w:after="0" w:lineRule="auto" w:line="360"/>
              <w:jc w:val="center"/>
              <w:rPr>
                <w:rFonts w:ascii="Arial" w:cs="Arial" w:hAnsi="Arial"/>
                <w:sz w:val="24"/>
                <w:szCs w:val="24"/>
              </w:rPr>
            </w:pPr>
          </w:p>
          <w:p>
            <w:pPr>
              <w:pStyle w:val="style0"/>
              <w:spacing w:after="0" w:lineRule="auto" w:line="360"/>
              <w:jc w:val="center"/>
              <w:rPr>
                <w:rFonts w:ascii="Arial" w:cs="Arial" w:hAnsi="Arial"/>
                <w:sz w:val="24"/>
                <w:szCs w:val="24"/>
              </w:rPr>
            </w:pPr>
            <w:r>
              <w:rPr>
                <w:rFonts w:ascii="Arial" w:cs="Arial" w:hAnsi="Arial"/>
                <w:sz w:val="24"/>
                <w:szCs w:val="24"/>
              </w:rPr>
              <w:t>0,411</w:t>
            </w:r>
          </w:p>
        </w:tc>
      </w:tr>
      <w:tr>
        <w:tblPrEx/>
        <w:trPr>
          <w:trHeight w:val="338" w:hRule="atLeast"/>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84   42,4</w:t>
            </w:r>
          </w:p>
        </w:tc>
        <w:tc>
          <w:tcPr>
            <w:tcW w:w="1276" w:type="dxa"/>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114  57,6</w:t>
            </w:r>
          </w:p>
        </w:tc>
        <w:tc>
          <w:tcPr>
            <w:tcW w:w="992"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360"/>
              <w:jc w:val="center"/>
              <w:rPr>
                <w:rFonts w:ascii="Arial" w:cs="Arial" w:hAnsi="Arial"/>
                <w:sz w:val="24"/>
                <w:szCs w:val="24"/>
              </w:rPr>
            </w:pPr>
          </w:p>
        </w:tc>
      </w:tr>
      <w:tr>
        <w:tblPrEx/>
        <w:trPr/>
        <w:tc>
          <w:tcPr>
            <w:tcW w:w="8906" w:type="dxa"/>
            <w:gridSpan w:val="6"/>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Sexo</w:t>
            </w:r>
          </w:p>
        </w:tc>
        <w:tc>
          <w:tcPr>
            <w:tcW w:w="983" w:type="dxa"/>
            <w:tcBorders/>
            <w:shd w:val="clear" w:color="auto" w:fill="auto"/>
            <w:tcFitText w:val="false"/>
          </w:tcPr>
          <w:p>
            <w:pPr>
              <w:pStyle w:val="style0"/>
              <w:spacing w:after="0" w:lineRule="auto" w:line="360"/>
              <w:jc w:val="both"/>
              <w:rPr>
                <w:rFonts w:ascii="Arial" w:cs="Arial" w:hAnsi="Arial"/>
                <w:sz w:val="24"/>
                <w:szCs w:val="24"/>
              </w:rPr>
            </w:pPr>
          </w:p>
        </w:tc>
      </w:tr>
      <w:tr>
        <w:tblPrEx/>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Masculino</w:t>
            </w:r>
          </w:p>
        </w:tc>
        <w:tc>
          <w:tcPr>
            <w:tcW w:w="1559"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67  48,2</w:t>
            </w:r>
          </w:p>
        </w:tc>
        <w:tc>
          <w:tcPr>
            <w:tcW w:w="1276"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72  51,8</w:t>
            </w:r>
          </w:p>
        </w:tc>
        <w:tc>
          <w:tcPr>
            <w:tcW w:w="992"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0,70</w:t>
            </w:r>
          </w:p>
        </w:tc>
        <w:tc>
          <w:tcPr>
            <w:tcW w:w="1559" w:type="dxa"/>
            <w:vMerge w:val="restart"/>
            <w:tcBorders/>
            <w:shd w:val="clear" w:color="auto" w:fill="auto"/>
            <w:tcFitText w:val="false"/>
          </w:tcPr>
          <w:p>
            <w:pPr>
              <w:pStyle w:val="style0"/>
              <w:spacing w:lineRule="auto" w:line="360"/>
              <w:ind w:left="60" w:right="60"/>
              <w:jc w:val="center"/>
              <w:rPr>
                <w:rFonts w:ascii="Arial" w:cs="Arial" w:hAnsi="Arial"/>
                <w:color w:val="010205"/>
                <w:sz w:val="24"/>
                <w:szCs w:val="24"/>
              </w:rPr>
            </w:pPr>
            <w:r>
              <w:rPr>
                <w:rFonts w:ascii="Arial" w:cs="Arial" w:hAnsi="Arial"/>
                <w:color w:val="010205"/>
                <w:sz w:val="24"/>
                <w:szCs w:val="24"/>
              </w:rPr>
              <w:t>0,488</w:t>
            </w:r>
          </w:p>
        </w:tc>
        <w:tc>
          <w:tcPr>
            <w:tcW w:w="2107" w:type="dxa"/>
            <w:vMerge w:val="restart"/>
            <w:tcBorders/>
            <w:shd w:val="clear" w:color="auto" w:fill="auto"/>
            <w:tcFitText w:val="false"/>
          </w:tcPr>
          <w:p>
            <w:pPr>
              <w:pStyle w:val="style0"/>
              <w:spacing w:lineRule="auto" w:line="360"/>
              <w:ind w:left="60" w:right="60"/>
              <w:jc w:val="center"/>
              <w:rPr>
                <w:rFonts w:ascii="Arial" w:cs="Arial" w:hAnsi="Arial"/>
                <w:color w:val="010205"/>
                <w:sz w:val="24"/>
                <w:szCs w:val="24"/>
              </w:rPr>
            </w:pPr>
            <w:r>
              <w:rPr>
                <w:rFonts w:ascii="Arial" w:cs="Arial" w:hAnsi="Arial"/>
                <w:color w:val="010205"/>
                <w:sz w:val="24"/>
                <w:szCs w:val="24"/>
              </w:rPr>
              <w:t>1,007</w:t>
            </w:r>
          </w:p>
        </w:tc>
        <w:tc>
          <w:tcPr>
            <w:tcW w:w="983" w:type="dxa"/>
            <w:vMerge w:val="restart"/>
            <w:tcBorders/>
            <w:shd w:val="clear" w:color="auto" w:fill="auto"/>
            <w:tcFitText w:val="false"/>
          </w:tcPr>
          <w:p>
            <w:pPr>
              <w:pStyle w:val="style0"/>
              <w:spacing w:after="0" w:lineRule="auto" w:line="360"/>
              <w:jc w:val="center"/>
              <w:rPr>
                <w:rFonts w:ascii="Arial" w:cs="Arial" w:hAnsi="Arial"/>
                <w:sz w:val="24"/>
                <w:szCs w:val="24"/>
              </w:rPr>
            </w:pPr>
          </w:p>
          <w:p>
            <w:pPr>
              <w:pStyle w:val="style0"/>
              <w:spacing w:after="0" w:lineRule="auto" w:line="360"/>
              <w:jc w:val="center"/>
              <w:rPr>
                <w:rFonts w:ascii="Arial" w:cs="Arial" w:hAnsi="Arial"/>
                <w:sz w:val="24"/>
                <w:szCs w:val="24"/>
              </w:rPr>
            </w:pPr>
            <w:r>
              <w:rPr>
                <w:rFonts w:ascii="Arial" w:cs="Arial" w:hAnsi="Arial"/>
                <w:sz w:val="24"/>
                <w:szCs w:val="24"/>
              </w:rPr>
              <w:t>0,082</w:t>
            </w:r>
          </w:p>
        </w:tc>
      </w:tr>
      <w:tr>
        <w:tblPrEx/>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Femenino</w:t>
            </w:r>
          </w:p>
        </w:tc>
        <w:tc>
          <w:tcPr>
            <w:tcW w:w="1559"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30   30,9</w:t>
            </w:r>
          </w:p>
        </w:tc>
        <w:tc>
          <w:tcPr>
            <w:tcW w:w="1276"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67</w:t>
            </w:r>
            <w:r>
              <w:rPr>
                <w:rFonts w:ascii="Arial" w:cs="Arial" w:hAnsi="Arial"/>
                <w:color w:val="010205"/>
                <w:sz w:val="24"/>
                <w:szCs w:val="24"/>
              </w:rPr>
              <w:t xml:space="preserve">  6</w:t>
            </w:r>
            <w:r>
              <w:rPr>
                <w:rFonts w:ascii="Arial" w:cs="Arial" w:hAnsi="Arial"/>
                <w:color w:val="010205"/>
                <w:sz w:val="24"/>
                <w:szCs w:val="24"/>
              </w:rPr>
              <w:t>9</w:t>
            </w:r>
            <w:r>
              <w:rPr>
                <w:rFonts w:ascii="Arial" w:cs="Arial" w:hAnsi="Arial"/>
                <w:color w:val="010205"/>
                <w:sz w:val="24"/>
                <w:szCs w:val="24"/>
              </w:rPr>
              <w:t>,</w:t>
            </w:r>
            <w:r>
              <w:rPr>
                <w:rFonts w:ascii="Arial" w:cs="Arial" w:hAnsi="Arial"/>
                <w:color w:val="010205"/>
                <w:sz w:val="24"/>
                <w:szCs w:val="24"/>
              </w:rPr>
              <w:t>1</w:t>
            </w:r>
          </w:p>
        </w:tc>
        <w:tc>
          <w:tcPr>
            <w:tcW w:w="992"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360"/>
              <w:jc w:val="both"/>
              <w:rPr>
                <w:rFonts w:ascii="Arial" w:cs="Arial" w:hAnsi="Arial"/>
                <w:sz w:val="24"/>
                <w:szCs w:val="24"/>
              </w:rPr>
            </w:pPr>
          </w:p>
        </w:tc>
        <w:tc>
          <w:tcPr>
            <w:tcW w:w="2107" w:type="dxa"/>
            <w:vMerge w:val="continue"/>
            <w:tcBorders/>
            <w:shd w:val="clear" w:color="auto" w:fill="auto"/>
            <w:tcFitText w:val="false"/>
          </w:tcPr>
          <w:p>
            <w:pPr>
              <w:pStyle w:val="style0"/>
              <w:spacing w:after="0" w:lineRule="auto" w:line="360"/>
              <w:jc w:val="both"/>
              <w:rPr>
                <w:rFonts w:ascii="Arial" w:cs="Arial" w:hAnsi="Arial"/>
                <w:sz w:val="24"/>
                <w:szCs w:val="24"/>
              </w:rPr>
            </w:pPr>
          </w:p>
        </w:tc>
        <w:tc>
          <w:tcPr>
            <w:tcW w:w="983" w:type="dxa"/>
            <w:vMerge w:val="continue"/>
            <w:tcBorders/>
            <w:shd w:val="clear" w:color="auto" w:fill="auto"/>
            <w:tcFitText w:val="false"/>
          </w:tcPr>
          <w:p>
            <w:pPr>
              <w:pStyle w:val="style0"/>
              <w:spacing w:after="0" w:lineRule="auto" w:line="360"/>
              <w:jc w:val="both"/>
              <w:rPr>
                <w:rFonts w:ascii="Arial" w:cs="Arial" w:hAnsi="Arial"/>
                <w:sz w:val="24"/>
                <w:szCs w:val="24"/>
              </w:rPr>
            </w:pPr>
          </w:p>
        </w:tc>
      </w:tr>
      <w:tr>
        <w:tblPrEx/>
        <w:trPr/>
        <w:tc>
          <w:tcPr>
            <w:tcW w:w="8906" w:type="dxa"/>
            <w:gridSpan w:val="6"/>
            <w:tcBorders/>
            <w:shd w:val="clear" w:color="auto" w:fill="auto"/>
            <w:tcFitText w:val="false"/>
          </w:tcPr>
          <w:p>
            <w:pPr>
              <w:pStyle w:val="style0"/>
              <w:spacing w:after="0" w:lineRule="auto" w:line="360"/>
              <w:jc w:val="center"/>
              <w:rPr>
                <w:rFonts w:ascii="Arial" w:cs="Arial" w:hAnsi="Arial"/>
                <w:b/>
                <w:sz w:val="24"/>
                <w:szCs w:val="24"/>
              </w:rPr>
            </w:pPr>
            <w:r>
              <w:rPr>
                <w:rFonts w:ascii="Arial" w:cs="Arial" w:hAnsi="Arial"/>
                <w:b/>
                <w:sz w:val="24"/>
                <w:szCs w:val="24"/>
              </w:rPr>
              <w:t>Estadía mayor o igual a 7 días</w:t>
            </w:r>
          </w:p>
        </w:tc>
        <w:tc>
          <w:tcPr>
            <w:tcW w:w="983" w:type="dxa"/>
            <w:tcBorders/>
            <w:shd w:val="clear" w:color="auto" w:fill="auto"/>
            <w:tcFitText w:val="false"/>
          </w:tcPr>
          <w:p>
            <w:pPr>
              <w:pStyle w:val="style0"/>
              <w:spacing w:after="0" w:lineRule="auto" w:line="360"/>
              <w:jc w:val="both"/>
              <w:rPr>
                <w:rFonts w:ascii="Arial" w:cs="Arial" w:hAnsi="Arial"/>
                <w:sz w:val="24"/>
                <w:szCs w:val="24"/>
              </w:rPr>
            </w:pPr>
          </w:p>
        </w:tc>
      </w:tr>
      <w:tr>
        <w:tblPrEx/>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 xml:space="preserve">Sí </w:t>
            </w:r>
          </w:p>
        </w:tc>
        <w:tc>
          <w:tcPr>
            <w:tcW w:w="1559"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32  39,5</w:t>
            </w:r>
          </w:p>
        </w:tc>
        <w:tc>
          <w:tcPr>
            <w:tcW w:w="1276"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49  60,5</w:t>
            </w:r>
          </w:p>
        </w:tc>
        <w:tc>
          <w:tcPr>
            <w:tcW w:w="992" w:type="dxa"/>
            <w:vMerge w:val="restart"/>
            <w:tcBorders/>
            <w:shd w:val="clear" w:color="auto" w:fill="auto"/>
            <w:tcFitText w:val="false"/>
          </w:tcPr>
          <w:p>
            <w:pPr>
              <w:pStyle w:val="style0"/>
              <w:spacing w:after="0" w:lineRule="auto" w:line="360"/>
              <w:ind w:left="60" w:right="60"/>
              <w:jc w:val="center"/>
              <w:rPr>
                <w:rFonts w:ascii="Arial" w:cs="Arial" w:hAnsi="Arial"/>
                <w:color w:val="010205"/>
                <w:sz w:val="24"/>
                <w:szCs w:val="24"/>
              </w:rPr>
            </w:pPr>
          </w:p>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0,86</w:t>
            </w:r>
          </w:p>
        </w:tc>
        <w:tc>
          <w:tcPr>
            <w:tcW w:w="1559" w:type="dxa"/>
            <w:vMerge w:val="restart"/>
            <w:tcBorders/>
            <w:shd w:val="clear" w:color="auto" w:fill="auto"/>
            <w:tcFitText w:val="false"/>
          </w:tcPr>
          <w:p>
            <w:pPr>
              <w:pStyle w:val="style0"/>
              <w:spacing w:lineRule="auto" w:line="360"/>
              <w:ind w:left="60" w:right="60"/>
              <w:jc w:val="center"/>
              <w:rPr>
                <w:rFonts w:ascii="Arial" w:cs="Arial" w:hAnsi="Arial"/>
                <w:color w:val="010205"/>
                <w:sz w:val="24"/>
                <w:szCs w:val="24"/>
              </w:rPr>
            </w:pPr>
            <w:r>
              <w:rPr>
                <w:rFonts w:ascii="Arial" w:cs="Arial" w:hAnsi="Arial"/>
                <w:color w:val="010205"/>
                <w:sz w:val="24"/>
                <w:szCs w:val="24"/>
              </w:rPr>
              <w:t>0,62</w:t>
            </w:r>
          </w:p>
        </w:tc>
        <w:tc>
          <w:tcPr>
            <w:tcW w:w="2107" w:type="dxa"/>
            <w:vMerge w:val="restart"/>
            <w:tcBorders/>
            <w:shd w:val="clear" w:color="auto" w:fill="auto"/>
            <w:tcFitText w:val="false"/>
          </w:tcPr>
          <w:p>
            <w:pPr>
              <w:pStyle w:val="style0"/>
              <w:spacing w:lineRule="auto" w:line="360"/>
              <w:ind w:left="60" w:right="60"/>
              <w:jc w:val="center"/>
              <w:rPr>
                <w:rFonts w:ascii="Arial" w:cs="Arial" w:hAnsi="Arial"/>
                <w:color w:val="010205"/>
                <w:sz w:val="24"/>
                <w:szCs w:val="24"/>
              </w:rPr>
            </w:pPr>
            <w:r>
              <w:rPr>
                <w:rFonts w:ascii="Arial" w:cs="Arial" w:hAnsi="Arial"/>
                <w:color w:val="010205"/>
                <w:sz w:val="24"/>
                <w:szCs w:val="24"/>
              </w:rPr>
              <w:t>1,20</w:t>
            </w:r>
          </w:p>
        </w:tc>
        <w:tc>
          <w:tcPr>
            <w:tcW w:w="983" w:type="dxa"/>
            <w:vMerge w:val="restart"/>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0,</w:t>
            </w:r>
            <w:r>
              <w:rPr>
                <w:rFonts w:ascii="Arial" w:cs="Arial" w:hAnsi="Arial"/>
                <w:sz w:val="24"/>
                <w:szCs w:val="24"/>
              </w:rPr>
              <w:t>395</w:t>
            </w:r>
          </w:p>
        </w:tc>
      </w:tr>
      <w:tr>
        <w:tblPrEx/>
        <w:trPr>
          <w:trHeight w:val="432" w:hRule="atLeast"/>
        </w:trPr>
        <w:tc>
          <w:tcPr>
            <w:tcW w:w="1413" w:type="dxa"/>
            <w:tcBorders/>
            <w:shd w:val="clear" w:color="auto" w:fill="auto"/>
            <w:tcFitText w:val="false"/>
          </w:tcPr>
          <w:p>
            <w:pPr>
              <w:pStyle w:val="style0"/>
              <w:spacing w:after="0" w:lineRule="auto" w:line="360"/>
              <w:jc w:val="both"/>
              <w:rPr>
                <w:rFonts w:ascii="Arial" w:cs="Arial" w:hAnsi="Arial"/>
                <w:sz w:val="24"/>
                <w:szCs w:val="24"/>
              </w:rPr>
            </w:pPr>
            <w:r>
              <w:rPr>
                <w:rFonts w:ascii="Arial" w:cs="Arial" w:hAnsi="Arial"/>
                <w:sz w:val="24"/>
                <w:szCs w:val="24"/>
              </w:rPr>
              <w:t>No</w:t>
            </w:r>
          </w:p>
        </w:tc>
        <w:tc>
          <w:tcPr>
            <w:tcW w:w="1559"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60  45,5</w:t>
            </w:r>
          </w:p>
        </w:tc>
        <w:tc>
          <w:tcPr>
            <w:tcW w:w="1276" w:type="dxa"/>
            <w:tcBorders/>
            <w:shd w:val="clear" w:color="auto" w:fill="auto"/>
            <w:tcFitText w:val="false"/>
          </w:tcPr>
          <w:p>
            <w:pPr>
              <w:pStyle w:val="style0"/>
              <w:spacing w:after="0" w:lineRule="auto" w:line="360"/>
              <w:ind w:left="60" w:right="60"/>
              <w:jc w:val="center"/>
              <w:rPr>
                <w:rFonts w:ascii="Arial" w:cs="Arial" w:hAnsi="Arial"/>
                <w:color w:val="010205"/>
                <w:sz w:val="24"/>
                <w:szCs w:val="24"/>
              </w:rPr>
            </w:pPr>
            <w:r>
              <w:rPr>
                <w:rFonts w:ascii="Arial" w:cs="Arial" w:hAnsi="Arial"/>
                <w:color w:val="010205"/>
                <w:sz w:val="24"/>
                <w:szCs w:val="24"/>
              </w:rPr>
              <w:t>72  54,5</w:t>
            </w:r>
          </w:p>
        </w:tc>
        <w:tc>
          <w:tcPr>
            <w:tcW w:w="992" w:type="dxa"/>
            <w:vMerge w:val="continue"/>
            <w:tcBorders/>
            <w:shd w:val="clear" w:color="auto" w:fill="auto"/>
            <w:tcFitText w:val="false"/>
          </w:tcPr>
          <w:p>
            <w:pPr>
              <w:pStyle w:val="style0"/>
              <w:spacing w:after="0" w:lineRule="auto" w:line="360"/>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360"/>
              <w:jc w:val="both"/>
              <w:rPr>
                <w:rFonts w:ascii="Arial" w:cs="Arial" w:hAnsi="Arial"/>
                <w:sz w:val="24"/>
                <w:szCs w:val="24"/>
              </w:rPr>
            </w:pPr>
          </w:p>
        </w:tc>
        <w:tc>
          <w:tcPr>
            <w:tcW w:w="2107" w:type="dxa"/>
            <w:vMerge w:val="continue"/>
            <w:tcBorders/>
            <w:shd w:val="clear" w:color="auto" w:fill="auto"/>
            <w:tcFitText w:val="false"/>
          </w:tcPr>
          <w:p>
            <w:pPr>
              <w:pStyle w:val="style0"/>
              <w:spacing w:after="0" w:lineRule="auto" w:line="360"/>
              <w:jc w:val="both"/>
              <w:rPr>
                <w:rFonts w:ascii="Arial" w:cs="Arial" w:hAnsi="Arial"/>
                <w:sz w:val="24"/>
                <w:szCs w:val="24"/>
              </w:rPr>
            </w:pPr>
          </w:p>
        </w:tc>
        <w:tc>
          <w:tcPr>
            <w:tcW w:w="983" w:type="dxa"/>
            <w:vMerge w:val="continue"/>
            <w:tcBorders/>
            <w:shd w:val="clear" w:color="auto" w:fill="auto"/>
            <w:tcFitText w:val="false"/>
          </w:tcPr>
          <w:p>
            <w:pPr>
              <w:pStyle w:val="style0"/>
              <w:spacing w:after="0" w:lineRule="auto" w:line="360"/>
              <w:jc w:val="both"/>
              <w:rPr>
                <w:rFonts w:ascii="Arial" w:cs="Arial" w:hAnsi="Arial"/>
                <w:sz w:val="24"/>
                <w:szCs w:val="24"/>
              </w:rPr>
            </w:pPr>
          </w:p>
        </w:tc>
      </w:tr>
    </w:tbl>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sz w:val="24"/>
          <w:szCs w:val="24"/>
        </w:rPr>
        <w:br w:type="page"/>
      </w:r>
      <w:r>
        <w:rPr>
          <w:rFonts w:ascii="Arial" w:cs="Arial" w:hAnsi="Arial"/>
          <w:b/>
          <w:sz w:val="24"/>
          <w:szCs w:val="24"/>
        </w:rPr>
        <w:t xml:space="preserve">Tabla 4. </w:t>
      </w:r>
      <w:r>
        <w:rPr>
          <w:rFonts w:ascii="Arial" w:cs="Arial" w:hAnsi="Arial"/>
          <w:b/>
          <w:color w:val="000000"/>
          <w:sz w:val="24"/>
          <w:szCs w:val="24"/>
        </w:rPr>
        <w:t>Índice pronóstico de muerte por neumonía adquirida en la comunidad en los pacientes con enfermedad pulmonar obstructiva crónica.</w:t>
      </w:r>
      <w:r>
        <w:rPr>
          <w:rFonts w:ascii="Arial" w:cs="Arial" w:hAnsi="Arial"/>
          <w:b/>
          <w:sz w:val="24"/>
          <w:szCs w:val="24"/>
        </w:rPr>
        <w:t xml:space="preserve"> Comorbilidad.</w:t>
      </w:r>
    </w:p>
    <w:p>
      <w:pPr>
        <w:pStyle w:val="style0"/>
        <w:rPr>
          <w:rFonts w:ascii="Arial" w:cs="Arial" w:hAnsi="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276"/>
        <w:gridCol w:w="992"/>
        <w:gridCol w:w="1559"/>
        <w:gridCol w:w="2107"/>
        <w:gridCol w:w="983"/>
      </w:tblGrid>
      <w:tr>
        <w:trPr>
          <w:trHeight w:val="456" w:hRule="atLeast"/>
        </w:trPr>
        <w:tc>
          <w:tcPr>
            <w:tcW w:w="1413"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Variables</w:t>
            </w:r>
          </w:p>
        </w:tc>
        <w:tc>
          <w:tcPr>
            <w:tcW w:w="1559" w:type="dxa"/>
            <w:tcBorders/>
            <w:shd w:val="clear" w:color="auto" w:fill="auto"/>
            <w:tcFitText w:val="false"/>
          </w:tcPr>
          <w:p>
            <w:pPr>
              <w:pStyle w:val="style0"/>
              <w:spacing w:after="0" w:lineRule="auto" w:line="276"/>
              <w:rPr>
                <w:rFonts w:ascii="Arial" w:cs="Arial" w:hAnsi="Arial"/>
                <w:b/>
                <w:sz w:val="24"/>
                <w:szCs w:val="24"/>
              </w:rPr>
            </w:pPr>
            <w:r>
              <w:rPr>
                <w:rFonts w:ascii="Arial" w:cs="Arial" w:hAnsi="Arial"/>
                <w:b/>
                <w:sz w:val="24"/>
                <w:szCs w:val="24"/>
              </w:rPr>
              <w:t>Fallecidos</w:t>
            </w:r>
          </w:p>
        </w:tc>
        <w:tc>
          <w:tcPr>
            <w:tcW w:w="1276" w:type="dxa"/>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Vivos</w:t>
            </w:r>
          </w:p>
        </w:tc>
        <w:tc>
          <w:tcPr>
            <w:tcW w:w="992" w:type="dxa"/>
            <w:vMerge w:val="restart"/>
            <w:tcBorders/>
            <w:shd w:val="clear" w:color="auto" w:fill="auto"/>
            <w:tcFitText w:val="false"/>
          </w:tcPr>
          <w:p>
            <w:pPr>
              <w:pStyle w:val="style0"/>
              <w:spacing w:after="0" w:lineRule="auto" w:line="276"/>
              <w:jc w:val="center"/>
              <w:rPr>
                <w:rFonts w:ascii="Arial" w:cs="Arial" w:hAnsi="Arial"/>
                <w:b/>
                <w:sz w:val="24"/>
                <w:szCs w:val="24"/>
              </w:rPr>
            </w:pPr>
          </w:p>
          <w:p>
            <w:pPr>
              <w:pStyle w:val="style0"/>
              <w:spacing w:after="0" w:lineRule="auto" w:line="276"/>
              <w:jc w:val="center"/>
              <w:rPr>
                <w:rFonts w:ascii="Arial" w:cs="Arial" w:hAnsi="Arial"/>
                <w:b/>
                <w:sz w:val="24"/>
                <w:szCs w:val="24"/>
              </w:rPr>
            </w:pPr>
            <w:r>
              <w:rPr>
                <w:rFonts w:ascii="Arial" w:cs="Arial" w:hAnsi="Arial"/>
                <w:b/>
                <w:sz w:val="24"/>
                <w:szCs w:val="24"/>
              </w:rPr>
              <w:t>RR</w:t>
            </w:r>
          </w:p>
        </w:tc>
        <w:tc>
          <w:tcPr>
            <w:tcW w:w="3666" w:type="dxa"/>
            <w:gridSpan w:val="2"/>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Intervalo de confianza al 95%</w:t>
            </w:r>
          </w:p>
        </w:tc>
        <w:tc>
          <w:tcPr>
            <w:tcW w:w="983"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*p</w:t>
            </w:r>
          </w:p>
        </w:tc>
      </w:tr>
      <w:tr>
        <w:tblPrEx/>
        <w:trPr/>
        <w:tc>
          <w:tcPr>
            <w:tcW w:w="1413"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1559" w:type="dxa"/>
            <w:tcBorders/>
            <w:shd w:val="clear" w:color="auto" w:fill="auto"/>
            <w:tcFitText w:val="false"/>
          </w:tcPr>
          <w:p>
            <w:pPr>
              <w:pStyle w:val="style0"/>
              <w:spacing w:after="0" w:lineRule="auto" w:line="276"/>
              <w:rPr>
                <w:rFonts w:ascii="Arial" w:cs="Arial" w:hAnsi="Arial"/>
                <w:b/>
                <w:sz w:val="24"/>
                <w:szCs w:val="24"/>
              </w:rPr>
            </w:pPr>
            <w:r>
              <w:rPr>
                <w:rFonts w:ascii="Arial" w:cs="Arial" w:hAnsi="Arial"/>
                <w:b/>
                <w:sz w:val="24"/>
                <w:szCs w:val="24"/>
              </w:rPr>
              <w:t>No          %</w:t>
            </w:r>
          </w:p>
        </w:tc>
        <w:tc>
          <w:tcPr>
            <w:tcW w:w="1276" w:type="dxa"/>
            <w:tcBorders/>
            <w:shd w:val="clear" w:color="auto" w:fill="auto"/>
            <w:tcFitText w:val="false"/>
          </w:tcPr>
          <w:p>
            <w:pPr>
              <w:pStyle w:val="style0"/>
              <w:spacing w:after="0" w:lineRule="auto" w:line="276"/>
              <w:jc w:val="both"/>
              <w:rPr>
                <w:rFonts w:ascii="Arial" w:cs="Arial" w:hAnsi="Arial"/>
                <w:b/>
                <w:sz w:val="24"/>
                <w:szCs w:val="24"/>
              </w:rPr>
            </w:pPr>
            <w:r>
              <w:rPr>
                <w:rFonts w:ascii="Arial" w:cs="Arial" w:hAnsi="Arial"/>
                <w:b/>
                <w:sz w:val="24"/>
                <w:szCs w:val="24"/>
              </w:rPr>
              <w:t>No          %</w:t>
            </w:r>
          </w:p>
        </w:tc>
        <w:tc>
          <w:tcPr>
            <w:tcW w:w="992" w:type="dxa"/>
            <w:vMerge w:val="continue"/>
            <w:tcBorders/>
            <w:shd w:val="clear" w:color="auto" w:fill="auto"/>
            <w:tcFitText w:val="false"/>
          </w:tcPr>
          <w:p>
            <w:pPr>
              <w:pStyle w:val="style0"/>
              <w:spacing w:after="0" w:lineRule="auto" w:line="276"/>
              <w:jc w:val="center"/>
              <w:rPr>
                <w:rFonts w:ascii="Arial" w:cs="Arial" w:hAnsi="Arial"/>
                <w:b/>
                <w:sz w:val="24"/>
                <w:szCs w:val="24"/>
              </w:rPr>
            </w:pPr>
          </w:p>
        </w:tc>
        <w:tc>
          <w:tcPr>
            <w:tcW w:w="1559"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Inferior</w:t>
            </w:r>
          </w:p>
        </w:tc>
        <w:tc>
          <w:tcPr>
            <w:tcW w:w="2107"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Superior</w:t>
            </w:r>
          </w:p>
        </w:tc>
        <w:tc>
          <w:tcPr>
            <w:tcW w:w="983" w:type="dxa"/>
            <w:vMerge w:val="continue"/>
            <w:tcBorders/>
            <w:shd w:val="clear" w:color="auto" w:fill="auto"/>
            <w:tcFitText w:val="false"/>
          </w:tcPr>
          <w:p>
            <w:pPr>
              <w:pStyle w:val="style0"/>
              <w:spacing w:after="0" w:lineRule="auto" w:line="276"/>
              <w:jc w:val="both"/>
              <w:rPr>
                <w:rFonts w:ascii="Arial" w:cs="Arial" w:hAnsi="Arial"/>
                <w:b/>
                <w:sz w:val="24"/>
                <w:szCs w:val="24"/>
              </w:rPr>
            </w:pPr>
          </w:p>
        </w:tc>
      </w:tr>
      <w:tr>
        <w:tblPrEx/>
        <w:trPr/>
        <w:tc>
          <w:tcPr>
            <w:tcW w:w="1413"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1559" w:type="dxa"/>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N= 92</w:t>
            </w:r>
          </w:p>
        </w:tc>
        <w:tc>
          <w:tcPr>
            <w:tcW w:w="1276" w:type="dxa"/>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N=  121</w:t>
            </w:r>
          </w:p>
        </w:tc>
        <w:tc>
          <w:tcPr>
            <w:tcW w:w="992" w:type="dxa"/>
            <w:vMerge w:val="continue"/>
            <w:tcBorders/>
            <w:shd w:val="clear" w:color="auto" w:fill="auto"/>
            <w:tcFitText w:val="false"/>
          </w:tcPr>
          <w:p>
            <w:pPr>
              <w:pStyle w:val="style0"/>
              <w:spacing w:after="0" w:lineRule="auto" w:line="276"/>
              <w:jc w:val="center"/>
              <w:rPr>
                <w:rFonts w:ascii="Arial" w:cs="Arial" w:hAnsi="Arial"/>
                <w:b/>
                <w:sz w:val="24"/>
                <w:szCs w:val="24"/>
              </w:rPr>
            </w:pPr>
          </w:p>
        </w:tc>
        <w:tc>
          <w:tcPr>
            <w:tcW w:w="1559"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2107"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983" w:type="dxa"/>
            <w:vMerge w:val="continue"/>
            <w:tcBorders/>
            <w:shd w:val="clear" w:color="auto" w:fill="auto"/>
            <w:tcFitText w:val="false"/>
          </w:tcPr>
          <w:p>
            <w:pPr>
              <w:pStyle w:val="style0"/>
              <w:spacing w:after="0" w:lineRule="auto" w:line="276"/>
              <w:jc w:val="both"/>
              <w:rPr>
                <w:rFonts w:ascii="Arial" w:cs="Arial" w:hAnsi="Arial"/>
                <w:b/>
                <w:sz w:val="24"/>
                <w:szCs w:val="24"/>
              </w:rPr>
            </w:pPr>
          </w:p>
        </w:tc>
      </w:tr>
      <w:tr>
        <w:tblPrEx/>
        <w:trPr/>
        <w:tc>
          <w:tcPr>
            <w:tcW w:w="8906" w:type="dxa"/>
            <w:gridSpan w:val="6"/>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Cáncer</w:t>
            </w:r>
          </w:p>
        </w:tc>
        <w:tc>
          <w:tcPr>
            <w:tcW w:w="983" w:type="dxa"/>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9    81,8</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2   18,2</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1,99</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1,44</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2,75</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0,00</w:t>
            </w:r>
            <w:r>
              <w:rPr>
                <w:rFonts w:ascii="Arial" w:cs="Arial" w:hAnsi="Arial"/>
                <w:sz w:val="24"/>
                <w:szCs w:val="24"/>
              </w:rPr>
              <w:t>0</w:t>
            </w: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No</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83</w:t>
            </w:r>
            <w:r>
              <w:rPr>
                <w:rFonts w:ascii="Arial" w:cs="Arial" w:hAnsi="Arial"/>
                <w:color w:val="010205"/>
                <w:sz w:val="24"/>
                <w:szCs w:val="24"/>
              </w:rPr>
              <w:t xml:space="preserve">  41,1</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119</w:t>
            </w:r>
            <w:r>
              <w:rPr>
                <w:rFonts w:ascii="Arial" w:cs="Arial" w:hAnsi="Arial"/>
                <w:color w:val="010205"/>
                <w:sz w:val="24"/>
                <w:szCs w:val="24"/>
              </w:rPr>
              <w:t xml:space="preserve"> 58,9</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Enfermedad renal crónica</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7   77,8</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2   22,2</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1,86</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1,27</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2,74</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0,032</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85   41,7</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119 58,3</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lang w:val="pt-BR"/>
              </w:rPr>
            </w:pPr>
            <w:r>
              <w:rPr>
                <w:rFonts w:ascii="Arial" w:cs="Arial" w:hAnsi="Arial"/>
                <w:b/>
                <w:bCs/>
                <w:sz w:val="24"/>
                <w:szCs w:val="24"/>
              </w:rPr>
              <w:t>Cardiopatía isquémica</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39   62,9</w:t>
            </w:r>
          </w:p>
        </w:tc>
        <w:tc>
          <w:tcPr>
            <w:tcW w:w="1276"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23   37,1</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1,79</w:t>
            </w:r>
          </w:p>
        </w:tc>
        <w:tc>
          <w:tcPr>
            <w:tcW w:w="1559" w:type="dxa"/>
            <w:vMerge w:val="restart"/>
            <w:tcBorders/>
            <w:shd w:val="clear" w:color="auto" w:fill="auto"/>
            <w:tcFitText w:val="false"/>
          </w:tcPr>
          <w:p>
            <w:pPr>
              <w:pStyle w:val="style0"/>
              <w:spacing w:lineRule="atLeast" w:line="320"/>
              <w:ind w:left="60" w:right="60"/>
              <w:jc w:val="center"/>
              <w:rPr>
                <w:rFonts w:ascii="Arial" w:cs="Arial" w:hAnsi="Arial"/>
                <w:color w:val="010205"/>
                <w:sz w:val="24"/>
                <w:szCs w:val="24"/>
              </w:rPr>
            </w:pPr>
          </w:p>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1,34</w:t>
            </w:r>
          </w:p>
        </w:tc>
        <w:tc>
          <w:tcPr>
            <w:tcW w:w="2107" w:type="dxa"/>
            <w:vMerge w:val="restart"/>
            <w:tcBorders/>
            <w:shd w:val="clear" w:color="auto" w:fill="auto"/>
            <w:tcFitText w:val="false"/>
          </w:tcPr>
          <w:p>
            <w:pPr>
              <w:pStyle w:val="style0"/>
              <w:spacing w:lineRule="atLeast" w:line="320"/>
              <w:ind w:left="60" w:right="60"/>
              <w:jc w:val="center"/>
              <w:rPr>
                <w:rFonts w:ascii="Arial" w:cs="Arial" w:hAnsi="Arial"/>
                <w:color w:val="010205"/>
                <w:sz w:val="24"/>
                <w:szCs w:val="24"/>
              </w:rPr>
            </w:pPr>
          </w:p>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2,39</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0,000</w:t>
            </w:r>
          </w:p>
        </w:tc>
      </w:tr>
      <w:tr>
        <w:tblPrEx/>
        <w:trPr>
          <w:trHeight w:val="215" w:hRule="atLeast"/>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53   35,1</w:t>
            </w:r>
          </w:p>
        </w:tc>
        <w:tc>
          <w:tcPr>
            <w:tcW w:w="1276"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98  64,9</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r>
        <w:tblPrEx/>
        <w:trPr/>
        <w:tc>
          <w:tcPr>
            <w:tcW w:w="8906" w:type="dxa"/>
            <w:gridSpan w:val="6"/>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Diabetes mellitus</w:t>
            </w:r>
          </w:p>
        </w:tc>
        <w:tc>
          <w:tcPr>
            <w:tcW w:w="983" w:type="dxa"/>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26   60,5</w:t>
            </w:r>
          </w:p>
        </w:tc>
        <w:tc>
          <w:tcPr>
            <w:tcW w:w="1276"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17   39,5</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1,65</w:t>
            </w:r>
          </w:p>
        </w:tc>
        <w:tc>
          <w:tcPr>
            <w:tcW w:w="1559" w:type="dxa"/>
            <w:vMerge w:val="restart"/>
            <w:tcBorders/>
            <w:shd w:val="clear" w:color="auto" w:fill="auto"/>
            <w:tcFitText w:val="false"/>
          </w:tcPr>
          <w:p>
            <w:pPr>
              <w:pStyle w:val="style0"/>
              <w:spacing w:after="0" w:lineRule="auto" w:line="276"/>
              <w:ind w:left="60" w:right="60"/>
              <w:jc w:val="right"/>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1,14</w:t>
            </w:r>
          </w:p>
        </w:tc>
        <w:tc>
          <w:tcPr>
            <w:tcW w:w="2107" w:type="dxa"/>
            <w:vMerge w:val="restart"/>
            <w:tcBorders/>
            <w:shd w:val="clear" w:color="auto" w:fill="auto"/>
            <w:tcFitText w:val="false"/>
          </w:tcPr>
          <w:p>
            <w:pPr>
              <w:pStyle w:val="style0"/>
              <w:spacing w:after="0" w:lineRule="auto" w:line="276"/>
              <w:ind w:left="60" w:right="60"/>
              <w:jc w:val="right"/>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2,11</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0,010</w:t>
            </w: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No</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66    38,8</w:t>
            </w:r>
          </w:p>
        </w:tc>
        <w:tc>
          <w:tcPr>
            <w:tcW w:w="1276" w:type="dxa"/>
            <w:tcBorders/>
            <w:shd w:val="clear" w:color="auto" w:fill="auto"/>
            <w:tcFitText w:val="false"/>
          </w:tcPr>
          <w:p>
            <w:pPr>
              <w:pStyle w:val="style0"/>
              <w:spacing w:lineRule="atLeast" w:line="320"/>
              <w:ind w:left="60" w:right="60"/>
              <w:rPr>
                <w:rFonts w:ascii="Arial" w:cs="Arial" w:hAnsi="Arial"/>
                <w:color w:val="010205"/>
                <w:sz w:val="24"/>
                <w:szCs w:val="24"/>
              </w:rPr>
            </w:pPr>
            <w:r>
              <w:rPr>
                <w:rFonts w:ascii="Arial" w:cs="Arial" w:hAnsi="Arial"/>
                <w:color w:val="010205"/>
                <w:sz w:val="24"/>
                <w:szCs w:val="24"/>
              </w:rPr>
              <w:t>104</w:t>
            </w:r>
            <w:r>
              <w:rPr>
                <w:rFonts w:ascii="Arial" w:cs="Arial" w:hAnsi="Arial"/>
                <w:color w:val="010205"/>
                <w:sz w:val="24"/>
                <w:szCs w:val="24"/>
              </w:rPr>
              <w:t xml:space="preserve"> </w:t>
            </w:r>
            <w:r>
              <w:rPr>
                <w:rFonts w:ascii="Arial" w:cs="Arial" w:hAnsi="Arial"/>
                <w:color w:val="010205"/>
                <w:sz w:val="24"/>
                <w:szCs w:val="24"/>
              </w:rPr>
              <w:t>61,2</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Insuficiencia cardiaca</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20   64,5</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11   35,5</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1,63</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1,18</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2,23</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0,010</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72   39,6</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110 60,4</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bCs/>
                <w:sz w:val="24"/>
                <w:szCs w:val="24"/>
              </w:rPr>
              <w:t>Anemia</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24</w:t>
            </w:r>
            <w:r>
              <w:rPr>
                <w:rFonts w:ascii="Arial" w:cs="Arial" w:hAnsi="Arial"/>
                <w:color w:val="010205"/>
                <w:sz w:val="24"/>
                <w:szCs w:val="24"/>
              </w:rPr>
              <w:t xml:space="preserve">   </w:t>
            </w:r>
            <w:r>
              <w:rPr>
                <w:rFonts w:ascii="Arial" w:cs="Arial" w:hAnsi="Arial"/>
                <w:color w:val="010205"/>
                <w:sz w:val="24"/>
                <w:szCs w:val="24"/>
              </w:rPr>
              <w:t>44,4</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30</w:t>
            </w:r>
            <w:r>
              <w:rPr>
                <w:rFonts w:ascii="Arial" w:cs="Arial" w:hAnsi="Arial"/>
                <w:color w:val="010205"/>
                <w:sz w:val="24"/>
                <w:szCs w:val="24"/>
              </w:rPr>
              <w:t xml:space="preserve">   </w:t>
            </w:r>
            <w:r>
              <w:rPr>
                <w:rFonts w:ascii="Arial" w:cs="Arial" w:hAnsi="Arial"/>
                <w:color w:val="010205"/>
                <w:sz w:val="24"/>
                <w:szCs w:val="24"/>
              </w:rPr>
              <w:t>5</w:t>
            </w:r>
            <w:r>
              <w:rPr>
                <w:rFonts w:ascii="Arial" w:cs="Arial" w:hAnsi="Arial"/>
                <w:color w:val="010205"/>
                <w:sz w:val="24"/>
                <w:szCs w:val="24"/>
              </w:rPr>
              <w:t>5,</w:t>
            </w:r>
            <w:r>
              <w:rPr>
                <w:rFonts w:ascii="Arial" w:cs="Arial" w:hAnsi="Arial"/>
                <w:color w:val="010205"/>
                <w:sz w:val="24"/>
                <w:szCs w:val="24"/>
              </w:rPr>
              <w:t>6</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1,04</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0,</w:t>
            </w:r>
            <w:r>
              <w:rPr>
                <w:rFonts w:ascii="Arial" w:cs="Arial" w:hAnsi="Arial"/>
                <w:color w:val="010205"/>
                <w:sz w:val="24"/>
                <w:szCs w:val="24"/>
              </w:rPr>
              <w:t>739</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1,48</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w:t>
            </w:r>
            <w:r>
              <w:rPr>
                <w:rFonts w:ascii="Arial" w:cs="Arial" w:hAnsi="Arial"/>
                <w:sz w:val="24"/>
                <w:szCs w:val="24"/>
              </w:rPr>
              <w:t>794</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67</w:t>
            </w:r>
            <w:r>
              <w:rPr>
                <w:rFonts w:ascii="Arial" w:cs="Arial" w:hAnsi="Arial"/>
                <w:color w:val="010205"/>
                <w:sz w:val="24"/>
                <w:szCs w:val="24"/>
              </w:rPr>
              <w:t xml:space="preserve">  4</w:t>
            </w:r>
            <w:r>
              <w:rPr>
                <w:rFonts w:ascii="Arial" w:cs="Arial" w:hAnsi="Arial"/>
                <w:color w:val="010205"/>
                <w:sz w:val="24"/>
                <w:szCs w:val="24"/>
              </w:rPr>
              <w:t>2</w:t>
            </w:r>
            <w:r>
              <w:rPr>
                <w:rFonts w:ascii="Arial" w:cs="Arial" w:hAnsi="Arial"/>
                <w:color w:val="010205"/>
                <w:sz w:val="24"/>
                <w:szCs w:val="24"/>
              </w:rPr>
              <w:t>,4</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91</w:t>
            </w:r>
            <w:r>
              <w:rPr>
                <w:rFonts w:ascii="Arial" w:cs="Arial" w:hAnsi="Arial"/>
                <w:color w:val="010205"/>
                <w:sz w:val="24"/>
                <w:szCs w:val="24"/>
              </w:rPr>
              <w:t xml:space="preserve"> 5</w:t>
            </w:r>
            <w:r>
              <w:rPr>
                <w:rFonts w:ascii="Arial" w:cs="Arial" w:hAnsi="Arial"/>
                <w:color w:val="010205"/>
                <w:sz w:val="24"/>
                <w:szCs w:val="24"/>
              </w:rPr>
              <w:t>7</w:t>
            </w:r>
            <w:r>
              <w:rPr>
                <w:rFonts w:ascii="Arial" w:cs="Arial" w:hAnsi="Arial"/>
                <w:color w:val="010205"/>
                <w:sz w:val="24"/>
                <w:szCs w:val="24"/>
              </w:rPr>
              <w:t>,6</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bCs/>
                <w:sz w:val="24"/>
                <w:szCs w:val="24"/>
                <w:lang w:val="pt-BR"/>
              </w:rPr>
              <w:t xml:space="preserve">Antecedentes hipertensión arterial  </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9   34,6</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27   65,4</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0,78</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0,44</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1,35</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0,343</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83   44,4</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104 55,6</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bl>
    <w:p>
      <w:pPr>
        <w:pStyle w:val="style0"/>
        <w:spacing w:lineRule="auto" w:line="360"/>
        <w:jc w:val="both"/>
        <w:rPr>
          <w:rFonts w:ascii="Arial" w:cs="Arial" w:hAnsi="Arial"/>
          <w:b/>
          <w:sz w:val="24"/>
          <w:szCs w:val="24"/>
        </w:rPr>
      </w:pPr>
      <w:r>
        <w:rPr>
          <w:rFonts w:ascii="Arial" w:cs="Arial" w:hAnsi="Arial"/>
          <w:sz w:val="24"/>
          <w:szCs w:val="24"/>
        </w:rPr>
        <w:t xml:space="preserve"> </w:t>
      </w:r>
      <w:r>
        <w:rPr>
          <w:rFonts w:ascii="Arial" w:cs="Arial" w:hAnsi="Arial"/>
          <w:sz w:val="24"/>
          <w:szCs w:val="24"/>
        </w:rPr>
        <w:br w:type="page"/>
      </w:r>
      <w:r>
        <w:rPr>
          <w:rFonts w:ascii="Arial" w:cs="Arial" w:hAnsi="Arial"/>
          <w:b/>
          <w:sz w:val="24"/>
          <w:szCs w:val="24"/>
        </w:rPr>
        <w:t xml:space="preserve">Tabla </w:t>
      </w:r>
      <w:r>
        <w:rPr>
          <w:rFonts w:ascii="Arial" w:cs="Arial" w:hAnsi="Arial"/>
          <w:b/>
          <w:sz w:val="24"/>
          <w:szCs w:val="24"/>
        </w:rPr>
        <w:t>5</w:t>
      </w:r>
      <w:r>
        <w:rPr>
          <w:rFonts w:ascii="Arial" w:cs="Arial" w:hAnsi="Arial"/>
          <w:b/>
          <w:sz w:val="24"/>
          <w:szCs w:val="24"/>
        </w:rPr>
        <w:t xml:space="preserve">. </w:t>
      </w:r>
      <w:r>
        <w:rPr>
          <w:rFonts w:ascii="Arial" w:cs="Arial" w:hAnsi="Arial"/>
          <w:b/>
          <w:color w:val="000000"/>
          <w:sz w:val="24"/>
          <w:szCs w:val="24"/>
        </w:rPr>
        <w:t>Índice pronóstico de muerte por neumonía adquirida en la comunidad en los pacientes con enfermedad pulmonar obstructiva crónica.</w:t>
      </w:r>
      <w:r>
        <w:rPr>
          <w:rFonts w:ascii="Arial" w:cs="Arial" w:hAnsi="Arial"/>
          <w:b/>
          <w:sz w:val="24"/>
          <w:szCs w:val="24"/>
        </w:rPr>
        <w:t xml:space="preserve"> </w:t>
      </w:r>
      <w:r>
        <w:rPr>
          <w:rFonts w:ascii="Arial" w:cs="Arial" w:hAnsi="Arial"/>
          <w:b/>
          <w:sz w:val="24"/>
          <w:szCs w:val="24"/>
        </w:rPr>
        <w:t xml:space="preserve">Factores propios de la neumonía y otros factores.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276"/>
        <w:gridCol w:w="992"/>
        <w:gridCol w:w="1559"/>
        <w:gridCol w:w="2107"/>
        <w:gridCol w:w="983"/>
      </w:tblGrid>
      <w:tr>
        <w:trPr>
          <w:trHeight w:val="456" w:hRule="atLeast"/>
        </w:trPr>
        <w:tc>
          <w:tcPr>
            <w:tcW w:w="1413"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Variables</w:t>
            </w:r>
          </w:p>
        </w:tc>
        <w:tc>
          <w:tcPr>
            <w:tcW w:w="1559" w:type="dxa"/>
            <w:tcBorders/>
            <w:shd w:val="clear" w:color="auto" w:fill="auto"/>
            <w:tcFitText w:val="false"/>
          </w:tcPr>
          <w:p>
            <w:pPr>
              <w:pStyle w:val="style0"/>
              <w:spacing w:after="0" w:lineRule="auto" w:line="276"/>
              <w:rPr>
                <w:rFonts w:ascii="Arial" w:cs="Arial" w:hAnsi="Arial"/>
                <w:b/>
                <w:sz w:val="24"/>
                <w:szCs w:val="24"/>
              </w:rPr>
            </w:pPr>
            <w:r>
              <w:rPr>
                <w:rFonts w:ascii="Arial" w:cs="Arial" w:hAnsi="Arial"/>
                <w:b/>
                <w:sz w:val="24"/>
                <w:szCs w:val="24"/>
              </w:rPr>
              <w:t>Fallecidos</w:t>
            </w:r>
          </w:p>
        </w:tc>
        <w:tc>
          <w:tcPr>
            <w:tcW w:w="1276" w:type="dxa"/>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Vivos</w:t>
            </w:r>
          </w:p>
        </w:tc>
        <w:tc>
          <w:tcPr>
            <w:tcW w:w="992" w:type="dxa"/>
            <w:vMerge w:val="restart"/>
            <w:tcBorders/>
            <w:shd w:val="clear" w:color="auto" w:fill="auto"/>
            <w:tcFitText w:val="false"/>
          </w:tcPr>
          <w:p>
            <w:pPr>
              <w:pStyle w:val="style0"/>
              <w:spacing w:after="0" w:lineRule="auto" w:line="276"/>
              <w:jc w:val="center"/>
              <w:rPr>
                <w:rFonts w:ascii="Arial" w:cs="Arial" w:hAnsi="Arial"/>
                <w:b/>
                <w:sz w:val="24"/>
                <w:szCs w:val="24"/>
              </w:rPr>
            </w:pPr>
          </w:p>
          <w:p>
            <w:pPr>
              <w:pStyle w:val="style0"/>
              <w:spacing w:after="0" w:lineRule="auto" w:line="276"/>
              <w:jc w:val="center"/>
              <w:rPr>
                <w:rFonts w:ascii="Arial" w:cs="Arial" w:hAnsi="Arial"/>
                <w:b/>
                <w:sz w:val="24"/>
                <w:szCs w:val="24"/>
              </w:rPr>
            </w:pPr>
            <w:r>
              <w:rPr>
                <w:rFonts w:ascii="Arial" w:cs="Arial" w:hAnsi="Arial"/>
                <w:b/>
                <w:sz w:val="24"/>
                <w:szCs w:val="24"/>
              </w:rPr>
              <w:t>RR</w:t>
            </w:r>
          </w:p>
        </w:tc>
        <w:tc>
          <w:tcPr>
            <w:tcW w:w="3666" w:type="dxa"/>
            <w:gridSpan w:val="2"/>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Intervalo de confianza al 95%</w:t>
            </w:r>
          </w:p>
        </w:tc>
        <w:tc>
          <w:tcPr>
            <w:tcW w:w="983"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*p</w:t>
            </w:r>
          </w:p>
        </w:tc>
      </w:tr>
      <w:tr>
        <w:tblPrEx/>
        <w:trPr/>
        <w:tc>
          <w:tcPr>
            <w:tcW w:w="1413"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1559" w:type="dxa"/>
            <w:tcBorders/>
            <w:shd w:val="clear" w:color="auto" w:fill="auto"/>
            <w:tcFitText w:val="false"/>
          </w:tcPr>
          <w:p>
            <w:pPr>
              <w:pStyle w:val="style0"/>
              <w:spacing w:after="0" w:lineRule="auto" w:line="276"/>
              <w:rPr>
                <w:rFonts w:ascii="Arial" w:cs="Arial" w:hAnsi="Arial"/>
                <w:b/>
                <w:sz w:val="24"/>
                <w:szCs w:val="24"/>
              </w:rPr>
            </w:pPr>
            <w:r>
              <w:rPr>
                <w:rFonts w:ascii="Arial" w:cs="Arial" w:hAnsi="Arial"/>
                <w:b/>
                <w:sz w:val="24"/>
                <w:szCs w:val="24"/>
              </w:rPr>
              <w:t>No          %</w:t>
            </w:r>
          </w:p>
        </w:tc>
        <w:tc>
          <w:tcPr>
            <w:tcW w:w="1276" w:type="dxa"/>
            <w:tcBorders/>
            <w:shd w:val="clear" w:color="auto" w:fill="auto"/>
            <w:tcFitText w:val="false"/>
          </w:tcPr>
          <w:p>
            <w:pPr>
              <w:pStyle w:val="style0"/>
              <w:spacing w:after="0" w:lineRule="auto" w:line="276"/>
              <w:jc w:val="both"/>
              <w:rPr>
                <w:rFonts w:ascii="Arial" w:cs="Arial" w:hAnsi="Arial"/>
                <w:b/>
                <w:sz w:val="24"/>
                <w:szCs w:val="24"/>
              </w:rPr>
            </w:pPr>
            <w:r>
              <w:rPr>
                <w:rFonts w:ascii="Arial" w:cs="Arial" w:hAnsi="Arial"/>
                <w:b/>
                <w:sz w:val="24"/>
                <w:szCs w:val="24"/>
              </w:rPr>
              <w:t>No          %</w:t>
            </w:r>
          </w:p>
        </w:tc>
        <w:tc>
          <w:tcPr>
            <w:tcW w:w="992" w:type="dxa"/>
            <w:vMerge w:val="continue"/>
            <w:tcBorders/>
            <w:shd w:val="clear" w:color="auto" w:fill="auto"/>
            <w:tcFitText w:val="false"/>
          </w:tcPr>
          <w:p>
            <w:pPr>
              <w:pStyle w:val="style0"/>
              <w:spacing w:after="0" w:lineRule="auto" w:line="276"/>
              <w:jc w:val="center"/>
              <w:rPr>
                <w:rFonts w:ascii="Arial" w:cs="Arial" w:hAnsi="Arial"/>
                <w:b/>
                <w:sz w:val="24"/>
                <w:szCs w:val="24"/>
              </w:rPr>
            </w:pPr>
          </w:p>
        </w:tc>
        <w:tc>
          <w:tcPr>
            <w:tcW w:w="1559"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Inferior</w:t>
            </w:r>
          </w:p>
        </w:tc>
        <w:tc>
          <w:tcPr>
            <w:tcW w:w="2107" w:type="dxa"/>
            <w:vMerge w:val="restart"/>
            <w:tcBorders/>
            <w:shd w:val="clear" w:color="auto" w:fill="auto"/>
            <w:tcFitText w:val="false"/>
          </w:tcPr>
          <w:p>
            <w:pPr>
              <w:pStyle w:val="style0"/>
              <w:spacing w:after="0" w:lineRule="auto" w:line="276"/>
              <w:jc w:val="both"/>
              <w:rPr>
                <w:rFonts w:ascii="Arial" w:cs="Arial" w:hAnsi="Arial"/>
                <w:b/>
                <w:sz w:val="24"/>
                <w:szCs w:val="24"/>
              </w:rPr>
            </w:pPr>
          </w:p>
          <w:p>
            <w:pPr>
              <w:pStyle w:val="style0"/>
              <w:spacing w:after="0" w:lineRule="auto" w:line="276"/>
              <w:jc w:val="both"/>
              <w:rPr>
                <w:rFonts w:ascii="Arial" w:cs="Arial" w:hAnsi="Arial"/>
                <w:b/>
                <w:sz w:val="24"/>
                <w:szCs w:val="24"/>
              </w:rPr>
            </w:pPr>
            <w:r>
              <w:rPr>
                <w:rFonts w:ascii="Arial" w:cs="Arial" w:hAnsi="Arial"/>
                <w:b/>
                <w:sz w:val="24"/>
                <w:szCs w:val="24"/>
              </w:rPr>
              <w:t>Superior</w:t>
            </w:r>
          </w:p>
        </w:tc>
        <w:tc>
          <w:tcPr>
            <w:tcW w:w="983" w:type="dxa"/>
            <w:vMerge w:val="continue"/>
            <w:tcBorders/>
            <w:shd w:val="clear" w:color="auto" w:fill="auto"/>
            <w:tcFitText w:val="false"/>
          </w:tcPr>
          <w:p>
            <w:pPr>
              <w:pStyle w:val="style0"/>
              <w:spacing w:after="0" w:lineRule="auto" w:line="276"/>
              <w:jc w:val="both"/>
              <w:rPr>
                <w:rFonts w:ascii="Arial" w:cs="Arial" w:hAnsi="Arial"/>
                <w:b/>
                <w:sz w:val="24"/>
                <w:szCs w:val="24"/>
              </w:rPr>
            </w:pPr>
          </w:p>
        </w:tc>
      </w:tr>
      <w:tr>
        <w:tblPrEx/>
        <w:trPr/>
        <w:tc>
          <w:tcPr>
            <w:tcW w:w="1413"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1559" w:type="dxa"/>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N= 92</w:t>
            </w:r>
          </w:p>
        </w:tc>
        <w:tc>
          <w:tcPr>
            <w:tcW w:w="1276" w:type="dxa"/>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N=  121</w:t>
            </w:r>
          </w:p>
        </w:tc>
        <w:tc>
          <w:tcPr>
            <w:tcW w:w="992" w:type="dxa"/>
            <w:vMerge w:val="continue"/>
            <w:tcBorders/>
            <w:shd w:val="clear" w:color="auto" w:fill="auto"/>
            <w:tcFitText w:val="false"/>
          </w:tcPr>
          <w:p>
            <w:pPr>
              <w:pStyle w:val="style0"/>
              <w:spacing w:after="0" w:lineRule="auto" w:line="276"/>
              <w:jc w:val="center"/>
              <w:rPr>
                <w:rFonts w:ascii="Arial" w:cs="Arial" w:hAnsi="Arial"/>
                <w:b/>
                <w:sz w:val="24"/>
                <w:szCs w:val="24"/>
              </w:rPr>
            </w:pPr>
          </w:p>
        </w:tc>
        <w:tc>
          <w:tcPr>
            <w:tcW w:w="1559"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2107" w:type="dxa"/>
            <w:vMerge w:val="continue"/>
            <w:tcBorders/>
            <w:shd w:val="clear" w:color="auto" w:fill="auto"/>
            <w:tcFitText w:val="false"/>
          </w:tcPr>
          <w:p>
            <w:pPr>
              <w:pStyle w:val="style0"/>
              <w:spacing w:after="0" w:lineRule="auto" w:line="276"/>
              <w:jc w:val="both"/>
              <w:rPr>
                <w:rFonts w:ascii="Arial" w:cs="Arial" w:hAnsi="Arial"/>
                <w:b/>
                <w:sz w:val="24"/>
                <w:szCs w:val="24"/>
              </w:rPr>
            </w:pPr>
          </w:p>
        </w:tc>
        <w:tc>
          <w:tcPr>
            <w:tcW w:w="983" w:type="dxa"/>
            <w:vMerge w:val="continue"/>
            <w:tcBorders/>
            <w:shd w:val="clear" w:color="auto" w:fill="auto"/>
            <w:tcFitText w:val="false"/>
          </w:tcPr>
          <w:p>
            <w:pPr>
              <w:pStyle w:val="style0"/>
              <w:spacing w:after="0" w:lineRule="auto" w:line="276"/>
              <w:jc w:val="both"/>
              <w:rPr>
                <w:rFonts w:ascii="Arial" w:cs="Arial" w:hAnsi="Arial"/>
                <w:b/>
                <w:sz w:val="24"/>
                <w:szCs w:val="24"/>
              </w:rPr>
            </w:pPr>
          </w:p>
        </w:tc>
      </w:tr>
      <w:tr>
        <w:tblPrEx/>
        <w:trPr/>
        <w:tc>
          <w:tcPr>
            <w:tcW w:w="8906" w:type="dxa"/>
            <w:gridSpan w:val="6"/>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Neumonía multilobar</w:t>
            </w:r>
          </w:p>
        </w:tc>
        <w:tc>
          <w:tcPr>
            <w:tcW w:w="983" w:type="dxa"/>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59   75,6</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19   24,4</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3,09</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2,24</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4,27</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0,00</w:t>
            </w:r>
            <w:r>
              <w:rPr>
                <w:rFonts w:ascii="Arial" w:cs="Arial" w:hAnsi="Arial"/>
                <w:sz w:val="24"/>
                <w:szCs w:val="24"/>
              </w:rPr>
              <w:t>0</w:t>
            </w: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No</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33  24</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102 75,6</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Choque</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47  82,5</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10  17,5</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2,85</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2,17</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3,76</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0,000</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45  28,8</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111 71,2</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lang w:val="pt-BR"/>
              </w:rPr>
            </w:pPr>
            <w:r>
              <w:rPr>
                <w:rFonts w:ascii="Arial" w:cs="Arial" w:hAnsi="Arial"/>
                <w:b/>
                <w:bCs/>
                <w:sz w:val="24"/>
                <w:szCs w:val="24"/>
                <w:lang w:val="pt-BR"/>
              </w:rPr>
              <w:t xml:space="preserve">Hipoxemia </w:t>
            </w:r>
            <w:r>
              <w:rPr>
                <w:rFonts w:ascii="Arial" w:cs="Arial" w:hAnsi="Arial"/>
                <w:b/>
                <w:bCs/>
                <w:sz w:val="24"/>
                <w:szCs w:val="24"/>
                <w:lang w:val="pt-BR"/>
              </w:rPr>
              <w:t xml:space="preserve">  </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48   73,8</w:t>
            </w:r>
          </w:p>
        </w:tc>
        <w:tc>
          <w:tcPr>
            <w:tcW w:w="1276"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17   26,2</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2,48</w:t>
            </w:r>
          </w:p>
        </w:tc>
        <w:tc>
          <w:tcPr>
            <w:tcW w:w="1559" w:type="dxa"/>
            <w:vMerge w:val="restart"/>
            <w:tcBorders/>
            <w:shd w:val="clear" w:color="auto" w:fill="auto"/>
            <w:tcFitText w:val="false"/>
          </w:tcPr>
          <w:p>
            <w:pPr>
              <w:pStyle w:val="style0"/>
              <w:spacing w:lineRule="atLeast" w:line="320"/>
              <w:ind w:left="60" w:right="60"/>
              <w:jc w:val="center"/>
              <w:rPr>
                <w:rFonts w:ascii="Arial" w:cs="Arial" w:hAnsi="Arial"/>
                <w:color w:val="010205"/>
                <w:sz w:val="24"/>
                <w:szCs w:val="24"/>
              </w:rPr>
            </w:pPr>
          </w:p>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1,86</w:t>
            </w:r>
          </w:p>
        </w:tc>
        <w:tc>
          <w:tcPr>
            <w:tcW w:w="2107" w:type="dxa"/>
            <w:vMerge w:val="restart"/>
            <w:tcBorders/>
            <w:shd w:val="clear" w:color="auto" w:fill="auto"/>
            <w:tcFitText w:val="false"/>
          </w:tcPr>
          <w:p>
            <w:pPr>
              <w:pStyle w:val="style0"/>
              <w:spacing w:lineRule="atLeast" w:line="320"/>
              <w:ind w:left="60" w:right="60"/>
              <w:jc w:val="center"/>
              <w:rPr>
                <w:rFonts w:ascii="Arial" w:cs="Arial" w:hAnsi="Arial"/>
                <w:color w:val="010205"/>
                <w:sz w:val="24"/>
                <w:szCs w:val="24"/>
              </w:rPr>
            </w:pPr>
          </w:p>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3,30</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0,000</w:t>
            </w:r>
          </w:p>
        </w:tc>
      </w:tr>
      <w:tr>
        <w:tblPrEx/>
        <w:trPr>
          <w:trHeight w:val="215" w:hRule="atLeast"/>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44  29,7</w:t>
            </w:r>
          </w:p>
        </w:tc>
        <w:tc>
          <w:tcPr>
            <w:tcW w:w="1276"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104 70,3</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r>
        <w:tblPrEx/>
        <w:trPr/>
        <w:tc>
          <w:tcPr>
            <w:tcW w:w="8906" w:type="dxa"/>
            <w:gridSpan w:val="6"/>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sz w:val="24"/>
                <w:szCs w:val="24"/>
              </w:rPr>
              <w:t>Alteración del nivel de conciencia</w:t>
            </w:r>
          </w:p>
        </w:tc>
        <w:tc>
          <w:tcPr>
            <w:tcW w:w="983" w:type="dxa"/>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24</w:t>
            </w:r>
          </w:p>
        </w:tc>
        <w:tc>
          <w:tcPr>
            <w:tcW w:w="1276"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11</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1,81</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1,35</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2,42</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0,0</w:t>
            </w:r>
            <w:r>
              <w:rPr>
                <w:rFonts w:ascii="Arial" w:cs="Arial" w:hAnsi="Arial"/>
                <w:sz w:val="24"/>
                <w:szCs w:val="24"/>
              </w:rPr>
              <w:t>01</w:t>
            </w:r>
          </w:p>
        </w:tc>
      </w:tr>
      <w:tr>
        <w:tblPrEx/>
        <w:trPr/>
        <w:tc>
          <w:tcPr>
            <w:tcW w:w="1413" w:type="dxa"/>
            <w:tcBorders/>
            <w:shd w:val="clear" w:color="auto" w:fill="auto"/>
            <w:tcFitText w:val="false"/>
          </w:tcPr>
          <w:p>
            <w:pPr>
              <w:pStyle w:val="style0"/>
              <w:spacing w:after="0" w:lineRule="auto" w:line="276"/>
              <w:rPr>
                <w:rFonts w:ascii="Arial" w:cs="Arial" w:hAnsi="Arial"/>
                <w:sz w:val="24"/>
                <w:szCs w:val="24"/>
              </w:rPr>
            </w:pPr>
            <w:r>
              <w:rPr>
                <w:rFonts w:ascii="Arial" w:cs="Arial" w:hAnsi="Arial"/>
                <w:sz w:val="24"/>
                <w:szCs w:val="24"/>
              </w:rPr>
              <w:t>No</w:t>
            </w:r>
          </w:p>
        </w:tc>
        <w:tc>
          <w:tcPr>
            <w:tcW w:w="1559" w:type="dxa"/>
            <w:tcBorders/>
            <w:shd w:val="clear" w:color="auto" w:fill="auto"/>
            <w:tcFitText w:val="false"/>
          </w:tcPr>
          <w:p>
            <w:pPr>
              <w:pStyle w:val="style0"/>
              <w:spacing w:lineRule="atLeast" w:line="320"/>
              <w:ind w:left="60" w:right="60"/>
              <w:jc w:val="center"/>
              <w:rPr>
                <w:rFonts w:ascii="Arial" w:cs="Arial" w:hAnsi="Arial"/>
                <w:color w:val="010205"/>
                <w:sz w:val="24"/>
                <w:szCs w:val="24"/>
              </w:rPr>
            </w:pPr>
            <w:r>
              <w:rPr>
                <w:rFonts w:ascii="Arial" w:cs="Arial" w:hAnsi="Arial"/>
                <w:color w:val="010205"/>
                <w:sz w:val="24"/>
                <w:szCs w:val="24"/>
              </w:rPr>
              <w:t>68  37,9</w:t>
            </w:r>
          </w:p>
        </w:tc>
        <w:tc>
          <w:tcPr>
            <w:tcW w:w="1276" w:type="dxa"/>
            <w:tcBorders/>
            <w:shd w:val="clear" w:color="auto" w:fill="auto"/>
            <w:tcFitText w:val="false"/>
          </w:tcPr>
          <w:p>
            <w:pPr>
              <w:pStyle w:val="style0"/>
              <w:spacing w:lineRule="atLeast" w:line="320"/>
              <w:ind w:left="60" w:right="60"/>
              <w:rPr>
                <w:rFonts w:ascii="Arial" w:cs="Arial" w:hAnsi="Arial"/>
                <w:color w:val="010205"/>
                <w:sz w:val="24"/>
                <w:szCs w:val="24"/>
              </w:rPr>
            </w:pPr>
            <w:r>
              <w:rPr>
                <w:rFonts w:ascii="Arial" w:cs="Arial" w:hAnsi="Arial"/>
                <w:color w:val="010205"/>
                <w:sz w:val="24"/>
                <w:szCs w:val="24"/>
              </w:rPr>
              <w:t>110 62,1</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both"/>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both"/>
              <w:rPr>
                <w:rFonts w:ascii="Arial" w:cs="Arial" w:hAnsi="Arial"/>
                <w:sz w:val="24"/>
                <w:szCs w:val="24"/>
              </w:rPr>
            </w:pPr>
          </w:p>
        </w:tc>
      </w:tr>
      <w:tr>
        <w:tblPrEx/>
        <w:trPr/>
        <w:tc>
          <w:tcPr>
            <w:tcW w:w="9889" w:type="dxa"/>
            <w:gridSpan w:val="7"/>
            <w:tcBorders/>
            <w:shd w:val="clear" w:color="auto" w:fill="auto"/>
            <w:tcFitText w:val="false"/>
          </w:tcPr>
          <w:p>
            <w:pPr>
              <w:pStyle w:val="style0"/>
              <w:spacing w:after="0" w:lineRule="auto" w:line="276"/>
              <w:jc w:val="center"/>
              <w:rPr>
                <w:rFonts w:ascii="Arial" w:cs="Arial" w:hAnsi="Arial"/>
                <w:b/>
                <w:sz w:val="24"/>
                <w:szCs w:val="24"/>
              </w:rPr>
            </w:pPr>
            <w:r>
              <w:rPr>
                <w:rFonts w:ascii="Arial" w:cs="Arial" w:hAnsi="Arial"/>
                <w:b/>
                <w:bCs/>
                <w:sz w:val="24"/>
                <w:szCs w:val="24"/>
              </w:rPr>
              <w:t xml:space="preserve">Leucocitosis </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Sí</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66  47,8</w:t>
            </w:r>
          </w:p>
        </w:tc>
        <w:tc>
          <w:tcPr>
            <w:tcW w:w="1276"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72  52,2</w:t>
            </w:r>
          </w:p>
        </w:tc>
        <w:tc>
          <w:tcPr>
            <w:tcW w:w="992"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1,38</w:t>
            </w:r>
          </w:p>
        </w:tc>
        <w:tc>
          <w:tcPr>
            <w:tcW w:w="1559"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0,63</w:t>
            </w:r>
          </w:p>
        </w:tc>
        <w:tc>
          <w:tcPr>
            <w:tcW w:w="2107" w:type="dxa"/>
            <w:vMerge w:val="restart"/>
            <w:tcBorders/>
            <w:shd w:val="clear" w:color="auto" w:fill="auto"/>
            <w:tcFitText w:val="false"/>
          </w:tcPr>
          <w:p>
            <w:pPr>
              <w:pStyle w:val="style0"/>
              <w:spacing w:after="0" w:lineRule="auto" w:line="276"/>
              <w:ind w:left="60" w:right="60"/>
              <w:jc w:val="center"/>
              <w:rPr>
                <w:rFonts w:ascii="Arial" w:cs="Arial" w:hAnsi="Arial"/>
                <w:color w:val="010205"/>
                <w:sz w:val="24"/>
                <w:szCs w:val="24"/>
              </w:rPr>
            </w:pPr>
          </w:p>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1,97</w:t>
            </w:r>
          </w:p>
        </w:tc>
        <w:tc>
          <w:tcPr>
            <w:tcW w:w="983" w:type="dxa"/>
            <w:vMerge w:val="restart"/>
            <w:tcBorders/>
            <w:shd w:val="clear" w:color="auto" w:fill="auto"/>
            <w:tcFitText w:val="false"/>
          </w:tcPr>
          <w:p>
            <w:pPr>
              <w:pStyle w:val="style0"/>
              <w:spacing w:after="0" w:lineRule="auto" w:line="276"/>
              <w:jc w:val="center"/>
              <w:rPr>
                <w:rFonts w:ascii="Arial" w:cs="Arial" w:hAnsi="Arial"/>
                <w:sz w:val="24"/>
                <w:szCs w:val="24"/>
              </w:rPr>
            </w:pPr>
          </w:p>
          <w:p>
            <w:pPr>
              <w:pStyle w:val="style0"/>
              <w:spacing w:after="0" w:lineRule="auto" w:line="276"/>
              <w:jc w:val="center"/>
              <w:rPr>
                <w:rFonts w:ascii="Arial" w:cs="Arial" w:hAnsi="Arial"/>
                <w:sz w:val="24"/>
                <w:szCs w:val="24"/>
              </w:rPr>
            </w:pPr>
            <w:r>
              <w:rPr>
                <w:rFonts w:ascii="Arial" w:cs="Arial" w:hAnsi="Arial"/>
                <w:sz w:val="24"/>
                <w:szCs w:val="24"/>
              </w:rPr>
              <w:t>0,</w:t>
            </w:r>
            <w:r>
              <w:rPr>
                <w:rFonts w:ascii="Arial" w:cs="Arial" w:hAnsi="Arial"/>
                <w:sz w:val="24"/>
                <w:szCs w:val="24"/>
              </w:rPr>
              <w:t>063</w:t>
            </w:r>
          </w:p>
        </w:tc>
      </w:tr>
      <w:tr>
        <w:tblPrEx/>
        <w:trPr/>
        <w:tc>
          <w:tcPr>
            <w:tcW w:w="1413" w:type="dxa"/>
            <w:tcBorders/>
            <w:shd w:val="clear" w:color="auto" w:fill="auto"/>
            <w:tcFitText w:val="false"/>
          </w:tcPr>
          <w:p>
            <w:pPr>
              <w:pStyle w:val="style0"/>
              <w:spacing w:after="0" w:lineRule="auto" w:line="276"/>
              <w:jc w:val="both"/>
              <w:rPr>
                <w:rFonts w:ascii="Arial" w:cs="Arial" w:hAnsi="Arial"/>
                <w:sz w:val="24"/>
                <w:szCs w:val="24"/>
              </w:rPr>
            </w:pPr>
            <w:r>
              <w:rPr>
                <w:rFonts w:ascii="Arial" w:cs="Arial" w:hAnsi="Arial"/>
                <w:sz w:val="24"/>
                <w:szCs w:val="24"/>
              </w:rPr>
              <w:t xml:space="preserve">No </w:t>
            </w:r>
          </w:p>
        </w:tc>
        <w:tc>
          <w:tcPr>
            <w:tcW w:w="1559" w:type="dxa"/>
            <w:tcBorders/>
            <w:shd w:val="clear" w:color="auto" w:fill="auto"/>
            <w:tcFitText w:val="false"/>
          </w:tcPr>
          <w:p>
            <w:pPr>
              <w:pStyle w:val="style0"/>
              <w:spacing w:after="0" w:lineRule="auto" w:line="276"/>
              <w:ind w:left="60" w:right="60"/>
              <w:jc w:val="center"/>
              <w:rPr>
                <w:rFonts w:ascii="Arial" w:cs="Arial" w:hAnsi="Arial"/>
                <w:color w:val="010205"/>
                <w:sz w:val="24"/>
                <w:szCs w:val="24"/>
              </w:rPr>
            </w:pPr>
            <w:r>
              <w:rPr>
                <w:rFonts w:ascii="Arial" w:cs="Arial" w:hAnsi="Arial"/>
                <w:color w:val="010205"/>
                <w:sz w:val="24"/>
                <w:szCs w:val="24"/>
              </w:rPr>
              <w:t>26   34,7</w:t>
            </w:r>
          </w:p>
        </w:tc>
        <w:tc>
          <w:tcPr>
            <w:tcW w:w="1276" w:type="dxa"/>
            <w:tcBorders/>
            <w:shd w:val="clear" w:color="auto" w:fill="auto"/>
            <w:tcFitText w:val="false"/>
          </w:tcPr>
          <w:p>
            <w:pPr>
              <w:pStyle w:val="style0"/>
              <w:spacing w:after="0" w:lineRule="auto" w:line="276"/>
              <w:ind w:left="60" w:right="60"/>
              <w:rPr>
                <w:rFonts w:ascii="Arial" w:cs="Arial" w:hAnsi="Arial"/>
                <w:color w:val="010205"/>
                <w:sz w:val="24"/>
                <w:szCs w:val="24"/>
              </w:rPr>
            </w:pPr>
            <w:r>
              <w:rPr>
                <w:rFonts w:ascii="Arial" w:cs="Arial" w:hAnsi="Arial"/>
                <w:color w:val="010205"/>
                <w:sz w:val="24"/>
                <w:szCs w:val="24"/>
              </w:rPr>
              <w:t>49  65,3</w:t>
            </w:r>
          </w:p>
        </w:tc>
        <w:tc>
          <w:tcPr>
            <w:tcW w:w="992"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1559"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2107" w:type="dxa"/>
            <w:vMerge w:val="continue"/>
            <w:tcBorders/>
            <w:shd w:val="clear" w:color="auto" w:fill="auto"/>
            <w:tcFitText w:val="false"/>
          </w:tcPr>
          <w:p>
            <w:pPr>
              <w:pStyle w:val="style0"/>
              <w:spacing w:after="0" w:lineRule="auto" w:line="276"/>
              <w:jc w:val="center"/>
              <w:rPr>
                <w:rFonts w:ascii="Arial" w:cs="Arial" w:hAnsi="Arial"/>
                <w:sz w:val="24"/>
                <w:szCs w:val="24"/>
              </w:rPr>
            </w:pPr>
          </w:p>
        </w:tc>
        <w:tc>
          <w:tcPr>
            <w:tcW w:w="983" w:type="dxa"/>
            <w:vMerge w:val="continue"/>
            <w:tcBorders/>
            <w:shd w:val="clear" w:color="auto" w:fill="auto"/>
            <w:tcFitText w:val="false"/>
          </w:tcPr>
          <w:p>
            <w:pPr>
              <w:pStyle w:val="style0"/>
              <w:spacing w:after="0" w:lineRule="auto" w:line="276"/>
              <w:jc w:val="center"/>
              <w:rPr>
                <w:rFonts w:ascii="Arial" w:cs="Arial" w:hAnsi="Arial"/>
                <w:sz w:val="24"/>
                <w:szCs w:val="24"/>
              </w:rPr>
            </w:pPr>
          </w:p>
        </w:tc>
      </w:tr>
    </w:tbl>
    <w:p>
      <w:pPr>
        <w:pStyle w:val="style0"/>
        <w:rPr>
          <w:rFonts w:ascii="Arial" w:cs="Arial" w:hAnsi="Arial"/>
          <w:b/>
          <w:sz w:val="24"/>
          <w:szCs w:val="24"/>
        </w:rPr>
      </w:pPr>
    </w:p>
    <w:p>
      <w:pPr>
        <w:pStyle w:val="style0"/>
        <w:rPr>
          <w:rFonts w:ascii="Arial" w:cs="Arial" w:hAnsi="Arial"/>
          <w:b/>
          <w:sz w:val="24"/>
          <w:szCs w:val="24"/>
        </w:rPr>
      </w:pPr>
      <w:r>
        <w:rPr>
          <w:rFonts w:ascii="Arial" w:cs="Arial" w:hAnsi="Arial"/>
          <w:b/>
          <w:sz w:val="24"/>
          <w:szCs w:val="24"/>
        </w:rPr>
        <w:br w:type="page"/>
      </w:r>
    </w:p>
    <w:p>
      <w:pPr>
        <w:pStyle w:val="style0"/>
        <w:jc w:val="both"/>
        <w:rPr>
          <w:rFonts w:ascii="Arial" w:cs="Arial" w:hAnsi="Arial"/>
          <w:b/>
          <w:sz w:val="24"/>
          <w:szCs w:val="24"/>
        </w:rPr>
      </w:pPr>
      <w:r>
        <w:rPr>
          <w:rFonts w:ascii="Arial" w:cs="Arial" w:hAnsi="Arial"/>
          <w:b/>
          <w:sz w:val="24"/>
          <w:szCs w:val="24"/>
        </w:rPr>
        <w:t xml:space="preserve">Tabla 6. </w:t>
      </w:r>
      <w:r>
        <w:rPr>
          <w:rFonts w:ascii="Arial" w:cs="Arial" w:hAnsi="Arial"/>
          <w:b/>
          <w:color w:val="000000"/>
          <w:sz w:val="24"/>
          <w:szCs w:val="24"/>
        </w:rPr>
        <w:t>Índice pronóstico de muerte por neumonía adquirida en la comunidad en los pacientes con enfermedad pulmonar obstructiva crónica</w:t>
      </w:r>
      <w:r>
        <w:rPr>
          <w:rFonts w:ascii="Arial" w:cs="Arial" w:hAnsi="Arial"/>
          <w:b/>
          <w:sz w:val="24"/>
          <w:szCs w:val="24"/>
        </w:rPr>
        <w:t xml:space="preserve">. Análisis de regresión logística binaria.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9"/>
        <w:gridCol w:w="851"/>
        <w:gridCol w:w="1134"/>
        <w:gridCol w:w="850"/>
        <w:gridCol w:w="851"/>
        <w:gridCol w:w="850"/>
        <w:gridCol w:w="992"/>
      </w:tblGrid>
      <w:tr>
        <w:trPr>
          <w:cantSplit/>
          <w:trHeight w:val="458" w:hRule="atLeast"/>
        </w:trPr>
        <w:tc>
          <w:tcPr>
            <w:tcW w:w="3539" w:type="dxa"/>
            <w:vMerge w:val="restart"/>
            <w:tcBorders/>
            <w:shd w:val="clear" w:color="auto" w:fill="auto"/>
            <w:tcFitText w:val="false"/>
            <w:vAlign w:val="bottom"/>
          </w:tcPr>
          <w:p>
            <w:pPr>
              <w:pStyle w:val="style0"/>
              <w:rPr>
                <w:rFonts w:ascii="Arial" w:cs="Arial" w:hAnsi="Arial"/>
                <w:sz w:val="24"/>
                <w:szCs w:val="24"/>
              </w:rPr>
            </w:pPr>
          </w:p>
        </w:tc>
        <w:tc>
          <w:tcPr>
            <w:tcW w:w="851" w:type="dxa"/>
            <w:vMerge w:val="restart"/>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B</w:t>
            </w:r>
          </w:p>
        </w:tc>
        <w:tc>
          <w:tcPr>
            <w:tcW w:w="1134" w:type="dxa"/>
            <w:vMerge w:val="restart"/>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Error estándar</w:t>
            </w:r>
          </w:p>
        </w:tc>
        <w:tc>
          <w:tcPr>
            <w:tcW w:w="850" w:type="dxa"/>
            <w:vMerge w:val="restart"/>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p</w:t>
            </w:r>
          </w:p>
        </w:tc>
        <w:tc>
          <w:tcPr>
            <w:tcW w:w="851" w:type="dxa"/>
            <w:vMerge w:val="restart"/>
            <w:tcBorders/>
            <w:shd w:val="clear" w:color="auto" w:fill="auto"/>
            <w:tcFitText w:val="false"/>
            <w:vAlign w:val="bottom"/>
          </w:tcPr>
          <w:p>
            <w:pPr>
              <w:pStyle w:val="style0"/>
              <w:spacing w:lineRule="atLeast" w:line="320"/>
              <w:ind w:left="60" w:right="60"/>
              <w:jc w:val="center"/>
              <w:rPr>
                <w:rFonts w:ascii="Arial" w:cs="Arial" w:hAnsi="Arial"/>
                <w:sz w:val="24"/>
                <w:szCs w:val="24"/>
              </w:rPr>
            </w:pPr>
            <w:r>
              <w:rPr>
                <w:rFonts w:ascii="Arial" w:cs="Arial" w:hAnsi="Arial"/>
                <w:sz w:val="24"/>
                <w:szCs w:val="24"/>
              </w:rPr>
              <w:t>OR</w:t>
            </w:r>
          </w:p>
        </w:tc>
        <w:tc>
          <w:tcPr>
            <w:tcW w:w="1842" w:type="dxa"/>
            <w:gridSpan w:val="2"/>
            <w:tcBorders/>
            <w:shd w:val="clear" w:color="auto" w:fill="auto"/>
            <w:tcFitText w:val="false"/>
          </w:tcPr>
          <w:p>
            <w:pPr>
              <w:pStyle w:val="style0"/>
              <w:spacing w:lineRule="atLeast" w:line="320"/>
              <w:ind w:left="60" w:right="60"/>
              <w:jc w:val="center"/>
              <w:rPr>
                <w:rFonts w:ascii="Arial" w:cs="Arial" w:hAnsi="Arial"/>
                <w:sz w:val="24"/>
                <w:szCs w:val="24"/>
              </w:rPr>
            </w:pPr>
            <w:r>
              <w:rPr>
                <w:rFonts w:ascii="Arial" w:cs="Arial" w:hAnsi="Arial"/>
                <w:sz w:val="24"/>
                <w:szCs w:val="24"/>
              </w:rPr>
              <w:t>Intervalo de confianza al 95%</w:t>
            </w:r>
          </w:p>
        </w:tc>
      </w:tr>
      <w:tr>
        <w:tblPrEx/>
        <w:trPr>
          <w:cantSplit/>
          <w:trHeight w:val="433" w:hRule="atLeast"/>
        </w:trPr>
        <w:tc>
          <w:tcPr>
            <w:tcW w:w="3539" w:type="dxa"/>
            <w:vMerge w:val="continue"/>
            <w:tcBorders/>
            <w:shd w:val="clear" w:color="auto" w:fill="auto"/>
            <w:tcFitText w:val="false"/>
            <w:vAlign w:val="bottom"/>
          </w:tcPr>
          <w:p>
            <w:pPr>
              <w:pStyle w:val="style0"/>
              <w:rPr>
                <w:rFonts w:ascii="Arial" w:cs="Arial" w:hAnsi="Arial"/>
                <w:sz w:val="24"/>
                <w:szCs w:val="24"/>
              </w:rPr>
            </w:pPr>
          </w:p>
        </w:tc>
        <w:tc>
          <w:tcPr>
            <w:tcW w:w="851" w:type="dxa"/>
            <w:vMerge w:val="continue"/>
            <w:tcBorders/>
            <w:shd w:val="clear" w:color="auto" w:fill="auto"/>
            <w:tcFitText w:val="false"/>
            <w:vAlign w:val="bottom"/>
          </w:tcPr>
          <w:p>
            <w:pPr>
              <w:pStyle w:val="style0"/>
              <w:rPr>
                <w:rFonts w:ascii="Arial" w:cs="Arial" w:hAnsi="Arial"/>
                <w:sz w:val="24"/>
                <w:szCs w:val="24"/>
              </w:rPr>
            </w:pPr>
          </w:p>
        </w:tc>
        <w:tc>
          <w:tcPr>
            <w:tcW w:w="1134" w:type="dxa"/>
            <w:vMerge w:val="continue"/>
            <w:tcBorders/>
            <w:shd w:val="clear" w:color="auto" w:fill="auto"/>
            <w:tcFitText w:val="false"/>
            <w:vAlign w:val="bottom"/>
          </w:tcPr>
          <w:p>
            <w:pPr>
              <w:pStyle w:val="style0"/>
              <w:rPr>
                <w:rFonts w:ascii="Arial" w:cs="Arial" w:hAnsi="Arial"/>
                <w:sz w:val="24"/>
                <w:szCs w:val="24"/>
              </w:rPr>
            </w:pPr>
          </w:p>
        </w:tc>
        <w:tc>
          <w:tcPr>
            <w:tcW w:w="850" w:type="dxa"/>
            <w:vMerge w:val="continue"/>
            <w:tcBorders/>
            <w:shd w:val="clear" w:color="auto" w:fill="auto"/>
            <w:tcFitText w:val="false"/>
            <w:vAlign w:val="bottom"/>
          </w:tcPr>
          <w:p>
            <w:pPr>
              <w:pStyle w:val="style0"/>
              <w:rPr>
                <w:rFonts w:ascii="Arial" w:cs="Arial" w:hAnsi="Arial"/>
                <w:sz w:val="24"/>
                <w:szCs w:val="24"/>
              </w:rPr>
            </w:pPr>
          </w:p>
        </w:tc>
        <w:tc>
          <w:tcPr>
            <w:tcW w:w="851" w:type="dxa"/>
            <w:vMerge w:val="continue"/>
            <w:tcBorders/>
            <w:shd w:val="clear" w:color="auto" w:fill="auto"/>
            <w:tcFitText w:val="false"/>
            <w:vAlign w:val="bottom"/>
          </w:tcPr>
          <w:p>
            <w:pPr>
              <w:pStyle w:val="style0"/>
              <w:rPr>
                <w:rFonts w:ascii="Arial" w:cs="Arial" w:hAnsi="Arial"/>
                <w:sz w:val="24"/>
                <w:szCs w:val="24"/>
              </w:rPr>
            </w:pPr>
          </w:p>
        </w:tc>
        <w:tc>
          <w:tcPr>
            <w:tcW w:w="850" w:type="dxa"/>
            <w:tcBorders/>
            <w:shd w:val="clear" w:color="auto" w:fill="auto"/>
            <w:tcFitText w:val="false"/>
          </w:tcPr>
          <w:p>
            <w:pPr>
              <w:pStyle w:val="style0"/>
              <w:rPr>
                <w:rFonts w:ascii="Arial" w:cs="Arial" w:hAnsi="Arial"/>
                <w:sz w:val="24"/>
                <w:szCs w:val="24"/>
              </w:rPr>
            </w:pPr>
            <w:r>
              <w:rPr>
                <w:rFonts w:ascii="Arial" w:cs="Arial" w:hAnsi="Arial"/>
                <w:sz w:val="24"/>
                <w:szCs w:val="24"/>
              </w:rPr>
              <w:t>Inferior</w:t>
            </w:r>
          </w:p>
        </w:tc>
        <w:tc>
          <w:tcPr>
            <w:tcW w:w="992" w:type="dxa"/>
            <w:tcBorders/>
            <w:shd w:val="clear" w:color="auto" w:fill="auto"/>
            <w:tcFitText w:val="false"/>
          </w:tcPr>
          <w:p>
            <w:pPr>
              <w:pStyle w:val="style0"/>
              <w:rPr>
                <w:rFonts w:ascii="Arial" w:cs="Arial" w:hAnsi="Arial"/>
                <w:sz w:val="24"/>
                <w:szCs w:val="24"/>
              </w:rPr>
            </w:pPr>
            <w:r>
              <w:rPr>
                <w:rFonts w:ascii="Arial" w:cs="Arial" w:hAnsi="Arial"/>
                <w:sz w:val="24"/>
                <w:szCs w:val="24"/>
              </w:rPr>
              <w:t>Superior</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Neumonía multilobar</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3,67</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0,53</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0,000</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w:t>
            </w:r>
            <w:r>
              <w:rPr>
                <w:rFonts w:ascii="Arial" w:cs="Arial" w:hAnsi="Arial"/>
                <w:sz w:val="24"/>
                <w:szCs w:val="24"/>
              </w:rPr>
              <w:t>6,48</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7</w:t>
            </w:r>
            <w:r>
              <w:rPr>
                <w:rFonts w:ascii="Arial" w:cs="Arial" w:hAnsi="Arial"/>
                <w:sz w:val="24"/>
                <w:szCs w:val="24"/>
              </w:rPr>
              <w:t>,26</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2</w:t>
            </w:r>
            <w:r>
              <w:rPr>
                <w:rFonts w:ascii="Arial" w:cs="Arial" w:hAnsi="Arial"/>
                <w:sz w:val="24"/>
                <w:szCs w:val="24"/>
              </w:rPr>
              <w:t>5,70</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Choque</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3,26</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1,13</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0,000</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w:t>
            </w:r>
            <w:r>
              <w:rPr>
                <w:rFonts w:ascii="Arial" w:cs="Arial" w:hAnsi="Arial"/>
                <w:sz w:val="24"/>
                <w:szCs w:val="24"/>
              </w:rPr>
              <w:t>2,82</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5,69</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2</w:t>
            </w:r>
            <w:r>
              <w:rPr>
                <w:rFonts w:ascii="Arial" w:cs="Arial" w:hAnsi="Arial"/>
                <w:sz w:val="24"/>
                <w:szCs w:val="24"/>
              </w:rPr>
              <w:t>8,80</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Enfermedad renal crónica</w:t>
            </w:r>
            <w:r>
              <w:rPr>
                <w:rFonts w:ascii="Arial" w:cs="Arial" w:hAnsi="Arial"/>
                <w:sz w:val="24"/>
                <w:szCs w:val="24"/>
              </w:rPr>
              <w:t xml:space="preserve"> </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w:t>
            </w:r>
            <w:r>
              <w:rPr>
                <w:rFonts w:ascii="Arial" w:cs="Arial" w:hAnsi="Arial"/>
                <w:sz w:val="24"/>
                <w:szCs w:val="24"/>
              </w:rPr>
              <w:t>1</w:t>
            </w:r>
            <w:r>
              <w:rPr>
                <w:rFonts w:ascii="Arial" w:cs="Arial" w:hAnsi="Arial"/>
                <w:sz w:val="24"/>
                <w:szCs w:val="24"/>
              </w:rPr>
              <w:t>4</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0,59</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0,000</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11</w:t>
            </w:r>
            <w:r>
              <w:rPr>
                <w:rFonts w:ascii="Arial" w:cs="Arial" w:hAnsi="Arial"/>
                <w:sz w:val="24"/>
                <w:szCs w:val="24"/>
              </w:rPr>
              <w:t>,92</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6,47</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w:t>
            </w:r>
            <w:r>
              <w:rPr>
                <w:rFonts w:ascii="Arial" w:cs="Arial" w:hAnsi="Arial"/>
                <w:sz w:val="24"/>
                <w:szCs w:val="24"/>
              </w:rPr>
              <w:t>7,56</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Cáncer</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3,06</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1,09</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0,006</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w:t>
            </w:r>
            <w:r>
              <w:rPr>
                <w:rFonts w:ascii="Arial" w:cs="Arial" w:hAnsi="Arial"/>
                <w:sz w:val="24"/>
                <w:szCs w:val="24"/>
              </w:rPr>
              <w:t>0</w:t>
            </w:r>
            <w:r>
              <w:rPr>
                <w:rFonts w:ascii="Arial" w:cs="Arial" w:hAnsi="Arial"/>
                <w:sz w:val="24"/>
                <w:szCs w:val="24"/>
              </w:rPr>
              <w:t>,21</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2,38</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17,14</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Hipoxia</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1,40</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0,51</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0,007</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4,06</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1,47</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11,20</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 xml:space="preserve">Insuficiencia cardiaca </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1,25</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0,68</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0,035</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3,52</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2,92</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13,40</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Diabetes mellitus</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1,12</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0,55</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0,044</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3,08</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1,03</w:t>
            </w: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9,20</w:t>
            </w:r>
          </w:p>
        </w:tc>
      </w:tr>
      <w:tr>
        <w:tblPrEx/>
        <w:trPr>
          <w:cantSplit/>
        </w:trPr>
        <w:tc>
          <w:tcPr>
            <w:tcW w:w="3539"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Constante</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-34,75</w:t>
            </w:r>
          </w:p>
        </w:tc>
        <w:tc>
          <w:tcPr>
            <w:tcW w:w="1134"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5,95</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0,000</w:t>
            </w:r>
          </w:p>
        </w:tc>
        <w:tc>
          <w:tcPr>
            <w:tcW w:w="851" w:type="dxa"/>
            <w:tcBorders/>
            <w:shd w:val="clear" w:color="auto" w:fill="auto"/>
            <w:tcFitText w:val="false"/>
          </w:tcPr>
          <w:p>
            <w:pPr>
              <w:pStyle w:val="style0"/>
              <w:spacing w:lineRule="atLeast" w:line="320"/>
              <w:ind w:left="60" w:right="60"/>
              <w:jc w:val="right"/>
              <w:rPr>
                <w:rFonts w:ascii="Arial" w:cs="Arial" w:hAnsi="Arial"/>
                <w:sz w:val="24"/>
                <w:szCs w:val="24"/>
              </w:rPr>
            </w:pPr>
            <w:r>
              <w:rPr>
                <w:rFonts w:ascii="Arial" w:cs="Arial" w:hAnsi="Arial"/>
                <w:sz w:val="24"/>
                <w:szCs w:val="24"/>
              </w:rPr>
              <w:t>0,000</w:t>
            </w:r>
          </w:p>
        </w:tc>
        <w:tc>
          <w:tcPr>
            <w:tcW w:w="850" w:type="dxa"/>
            <w:tcBorders/>
            <w:shd w:val="clear" w:color="auto" w:fill="auto"/>
            <w:tcFitText w:val="false"/>
          </w:tcPr>
          <w:p>
            <w:pPr>
              <w:pStyle w:val="style0"/>
              <w:spacing w:lineRule="atLeast" w:line="320"/>
              <w:ind w:left="60" w:right="60"/>
              <w:jc w:val="right"/>
              <w:rPr>
                <w:rFonts w:ascii="Arial" w:cs="Arial" w:hAnsi="Arial"/>
                <w:sz w:val="24"/>
                <w:szCs w:val="24"/>
              </w:rPr>
            </w:pPr>
          </w:p>
        </w:tc>
        <w:tc>
          <w:tcPr>
            <w:tcW w:w="992" w:type="dxa"/>
            <w:tcBorders/>
            <w:shd w:val="clear" w:color="auto" w:fill="auto"/>
            <w:tcFitText w:val="false"/>
          </w:tcPr>
          <w:p>
            <w:pPr>
              <w:pStyle w:val="style0"/>
              <w:spacing w:lineRule="atLeast" w:line="320"/>
              <w:ind w:left="60" w:right="60"/>
              <w:jc w:val="right"/>
              <w:rPr>
                <w:rFonts w:ascii="Arial" w:cs="Arial" w:hAnsi="Arial"/>
                <w:sz w:val="24"/>
                <w:szCs w:val="24"/>
              </w:rPr>
            </w:pPr>
          </w:p>
        </w:tc>
      </w:tr>
    </w:tbl>
    <w:p>
      <w:pPr>
        <w:pStyle w:val="style0"/>
        <w:rPr>
          <w:rFonts w:ascii="Arial" w:cs="Arial" w:hAnsi="Arial"/>
          <w:b/>
          <w:sz w:val="24"/>
          <w:szCs w:val="24"/>
        </w:rPr>
      </w:pPr>
    </w:p>
    <w:p>
      <w:pPr>
        <w:pStyle w:val="style0"/>
        <w:spacing w:after="0" w:lineRule="auto" w:line="360"/>
        <w:rPr>
          <w:rFonts w:ascii="Arial" w:cs="Arial" w:hAnsi="Arial"/>
          <w:b/>
          <w:bCs/>
          <w:color w:val="010205"/>
          <w:sz w:val="24"/>
          <w:szCs w:val="24"/>
        </w:rPr>
      </w:pPr>
    </w:p>
    <w:p>
      <w:pPr>
        <w:pStyle w:val="style0"/>
        <w:rPr>
          <w:rFonts w:ascii="Arial" w:cs="Arial" w:hAnsi="Arial"/>
          <w:b/>
          <w:bCs/>
          <w:color w:val="010205"/>
          <w:sz w:val="24"/>
          <w:szCs w:val="24"/>
        </w:rPr>
      </w:pPr>
      <w:r>
        <w:rPr>
          <w:rFonts w:ascii="Arial" w:cs="Arial" w:hAnsi="Arial"/>
          <w:b/>
          <w:bCs/>
          <w:color w:val="010205"/>
          <w:sz w:val="24"/>
          <w:szCs w:val="24"/>
        </w:rPr>
        <w:br w:type="page"/>
      </w:r>
    </w:p>
    <w:p>
      <w:pPr>
        <w:pStyle w:val="style0"/>
        <w:jc w:val="both"/>
        <w:rPr>
          <w:rFonts w:ascii="Arial" w:cs="Arial" w:hAnsi="Arial"/>
          <w:b/>
          <w:sz w:val="24"/>
          <w:szCs w:val="24"/>
        </w:rPr>
      </w:pPr>
      <w:r>
        <w:rPr>
          <w:rFonts w:ascii="Arial" w:cs="Arial" w:hAnsi="Arial"/>
          <w:b/>
          <w:sz w:val="24"/>
          <w:szCs w:val="24"/>
        </w:rPr>
        <w:t xml:space="preserve">Tabla </w:t>
      </w:r>
      <w:r>
        <w:rPr>
          <w:rFonts w:ascii="Arial" w:cs="Arial" w:hAnsi="Arial"/>
          <w:b/>
          <w:sz w:val="24"/>
          <w:szCs w:val="24"/>
        </w:rPr>
        <w:t>7</w:t>
      </w:r>
      <w:r>
        <w:rPr>
          <w:rFonts w:ascii="Arial" w:cs="Arial" w:hAnsi="Arial"/>
          <w:b/>
          <w:sz w:val="24"/>
          <w:szCs w:val="24"/>
        </w:rPr>
        <w:t xml:space="preserve">. </w:t>
      </w:r>
      <w:r>
        <w:rPr>
          <w:rFonts w:ascii="Arial" w:cs="Arial" w:hAnsi="Arial"/>
          <w:b/>
          <w:color w:val="000000"/>
          <w:sz w:val="24"/>
          <w:szCs w:val="24"/>
        </w:rPr>
        <w:t>Índice pronóstico de muerte por neumonía adquirida en la comunidad en los pacientes con enfermedad pulmonar obstructiva crónica.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42"/>
        <w:gridCol w:w="1843"/>
      </w:tblGrid>
      <w:tr>
        <w:trPr/>
        <w:tc>
          <w:tcPr>
            <w:tcW w:w="5070" w:type="dxa"/>
            <w:vMerge w:val="restart"/>
            <w:tcBorders/>
            <w:shd w:val="clear" w:color="auto" w:fill="auto"/>
            <w:tcFitText w:val="false"/>
          </w:tcPr>
          <w:p>
            <w:pPr>
              <w:pStyle w:val="style0"/>
              <w:jc w:val="center"/>
              <w:rPr>
                <w:rFonts w:ascii="Arial" w:cs="Arial" w:hAnsi="Arial"/>
                <w:b/>
                <w:sz w:val="24"/>
                <w:szCs w:val="24"/>
              </w:rPr>
            </w:pPr>
            <w:r>
              <w:rPr>
                <w:rFonts w:ascii="Arial" w:cs="Arial" w:hAnsi="Arial"/>
                <w:b/>
                <w:sz w:val="24"/>
                <w:szCs w:val="24"/>
              </w:rPr>
              <w:t>Ítems</w:t>
            </w:r>
          </w:p>
        </w:tc>
        <w:tc>
          <w:tcPr>
            <w:tcW w:w="3685" w:type="dxa"/>
            <w:gridSpan w:val="2"/>
            <w:tcBorders/>
            <w:shd w:val="clear" w:color="auto" w:fill="auto"/>
            <w:tcFitText w:val="false"/>
          </w:tcPr>
          <w:p>
            <w:pPr>
              <w:pStyle w:val="style0"/>
              <w:jc w:val="center"/>
              <w:rPr>
                <w:rFonts w:ascii="Arial" w:cs="Arial" w:hAnsi="Arial"/>
                <w:b/>
                <w:sz w:val="24"/>
                <w:szCs w:val="24"/>
              </w:rPr>
            </w:pPr>
            <w:r>
              <w:rPr>
                <w:rFonts w:ascii="Arial" w:cs="Arial" w:hAnsi="Arial"/>
                <w:b/>
                <w:sz w:val="24"/>
                <w:szCs w:val="24"/>
              </w:rPr>
              <w:t>Ponderación</w:t>
            </w:r>
          </w:p>
        </w:tc>
      </w:tr>
      <w:tr>
        <w:tblPrEx/>
        <w:trPr/>
        <w:tc>
          <w:tcPr>
            <w:tcW w:w="5070" w:type="dxa"/>
            <w:vMerge w:val="continue"/>
            <w:tcBorders/>
            <w:shd w:val="clear" w:color="auto" w:fill="auto"/>
            <w:tcFitText w:val="false"/>
          </w:tcPr>
          <w:p>
            <w:pPr>
              <w:pStyle w:val="style0"/>
              <w:rPr>
                <w:rFonts w:ascii="Arial" w:cs="Arial" w:hAnsi="Arial"/>
                <w:b/>
                <w:sz w:val="24"/>
                <w:szCs w:val="24"/>
              </w:rPr>
            </w:pPr>
          </w:p>
        </w:tc>
        <w:tc>
          <w:tcPr>
            <w:tcW w:w="1842" w:type="dxa"/>
            <w:tcBorders/>
            <w:shd w:val="clear" w:color="auto" w:fill="auto"/>
            <w:tcFitText w:val="false"/>
          </w:tcPr>
          <w:p>
            <w:pPr>
              <w:pStyle w:val="style0"/>
              <w:jc w:val="center"/>
              <w:rPr>
                <w:rFonts w:ascii="Arial" w:cs="Arial" w:hAnsi="Arial"/>
                <w:b/>
                <w:sz w:val="24"/>
                <w:szCs w:val="24"/>
              </w:rPr>
            </w:pPr>
            <w:r>
              <w:rPr>
                <w:rFonts w:ascii="Arial" w:cs="Arial" w:hAnsi="Arial"/>
                <w:b/>
                <w:sz w:val="24"/>
                <w:szCs w:val="24"/>
              </w:rPr>
              <w:t>Presente</w:t>
            </w:r>
          </w:p>
        </w:tc>
        <w:tc>
          <w:tcPr>
            <w:tcW w:w="1843" w:type="dxa"/>
            <w:tcBorders/>
            <w:shd w:val="clear" w:color="auto" w:fill="auto"/>
            <w:tcFitText w:val="false"/>
          </w:tcPr>
          <w:p>
            <w:pPr>
              <w:pStyle w:val="style0"/>
              <w:jc w:val="center"/>
              <w:rPr>
                <w:rFonts w:ascii="Arial" w:cs="Arial" w:hAnsi="Arial"/>
                <w:b/>
                <w:sz w:val="24"/>
                <w:szCs w:val="24"/>
              </w:rPr>
            </w:pPr>
            <w:r>
              <w:rPr>
                <w:rFonts w:ascii="Arial" w:cs="Arial" w:hAnsi="Arial"/>
                <w:b/>
                <w:sz w:val="24"/>
                <w:szCs w:val="24"/>
              </w:rPr>
              <w:t>Ausente</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Neumonía multilobar</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4</w:t>
            </w:r>
          </w:p>
        </w:tc>
        <w:tc>
          <w:tcPr>
            <w:tcW w:w="1843"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Choque</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3</w:t>
            </w:r>
          </w:p>
        </w:tc>
        <w:tc>
          <w:tcPr>
            <w:tcW w:w="1843"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E</w:t>
            </w:r>
            <w:r>
              <w:rPr>
                <w:rFonts w:ascii="Arial" w:cs="Arial" w:hAnsi="Arial"/>
                <w:sz w:val="24"/>
                <w:szCs w:val="24"/>
              </w:rPr>
              <w:t>nfermedad renal crónica</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3</w:t>
            </w:r>
          </w:p>
        </w:tc>
        <w:tc>
          <w:tcPr>
            <w:tcW w:w="1843"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Cáncer</w:t>
            </w:r>
          </w:p>
        </w:tc>
        <w:tc>
          <w:tcPr>
            <w:tcW w:w="1842"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3</w:t>
            </w:r>
          </w:p>
        </w:tc>
        <w:tc>
          <w:tcPr>
            <w:tcW w:w="1843"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Hipox</w:t>
            </w:r>
            <w:r>
              <w:rPr>
                <w:rFonts w:ascii="Arial" w:cs="Arial" w:hAnsi="Arial"/>
                <w:sz w:val="24"/>
                <w:szCs w:val="24"/>
              </w:rPr>
              <w:t>emia</w:t>
            </w:r>
          </w:p>
        </w:tc>
        <w:tc>
          <w:tcPr>
            <w:tcW w:w="1842"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1</w:t>
            </w:r>
          </w:p>
        </w:tc>
        <w:tc>
          <w:tcPr>
            <w:tcW w:w="1843"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 xml:space="preserve">Insuficiencia cardiaca </w:t>
            </w:r>
          </w:p>
        </w:tc>
        <w:tc>
          <w:tcPr>
            <w:tcW w:w="1842"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1</w:t>
            </w:r>
          </w:p>
        </w:tc>
        <w:tc>
          <w:tcPr>
            <w:tcW w:w="1843"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Diabetes mellitus</w:t>
            </w:r>
          </w:p>
        </w:tc>
        <w:tc>
          <w:tcPr>
            <w:tcW w:w="1842"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1</w:t>
            </w:r>
          </w:p>
        </w:tc>
        <w:tc>
          <w:tcPr>
            <w:tcW w:w="1843"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0</w:t>
            </w:r>
          </w:p>
        </w:tc>
      </w:tr>
      <w:tr>
        <w:tblPrEx/>
        <w:trPr/>
        <w:tc>
          <w:tcPr>
            <w:tcW w:w="5070" w:type="dxa"/>
            <w:tcBorders/>
            <w:shd w:val="clear" w:color="auto" w:fill="auto"/>
            <w:tcFitText w:val="false"/>
          </w:tcPr>
          <w:p>
            <w:pPr>
              <w:pStyle w:val="style0"/>
              <w:spacing w:lineRule="atLeast" w:line="320"/>
              <w:ind w:left="60" w:right="60"/>
              <w:rPr>
                <w:rFonts w:ascii="Arial" w:cs="Arial" w:hAnsi="Arial"/>
                <w:sz w:val="24"/>
                <w:szCs w:val="24"/>
              </w:rPr>
            </w:pPr>
            <w:r>
              <w:rPr>
                <w:rFonts w:ascii="Arial" w:cs="Arial" w:hAnsi="Arial"/>
                <w:sz w:val="24"/>
                <w:szCs w:val="24"/>
              </w:rPr>
              <w:t>Total</w:t>
            </w:r>
          </w:p>
        </w:tc>
        <w:tc>
          <w:tcPr>
            <w:tcW w:w="1842"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16</w:t>
            </w:r>
          </w:p>
        </w:tc>
        <w:tc>
          <w:tcPr>
            <w:tcW w:w="1843" w:type="dxa"/>
            <w:tcBorders/>
            <w:shd w:val="clear" w:color="auto" w:fill="auto"/>
            <w:tcFitText w:val="false"/>
          </w:tcPr>
          <w:p>
            <w:pPr>
              <w:pStyle w:val="style0"/>
              <w:jc w:val="center"/>
              <w:rPr>
                <w:rFonts w:ascii="Arial" w:cs="Arial" w:hAnsi="Arial"/>
                <w:sz w:val="24"/>
                <w:szCs w:val="24"/>
                <w:lang w:val="pt-BR"/>
              </w:rPr>
            </w:pPr>
            <w:r>
              <w:rPr>
                <w:rFonts w:ascii="Arial" w:cs="Arial" w:hAnsi="Arial"/>
                <w:sz w:val="24"/>
                <w:szCs w:val="24"/>
                <w:lang w:val="pt-BR"/>
              </w:rPr>
              <w:t>0</w:t>
            </w:r>
          </w:p>
        </w:tc>
      </w:tr>
      <w:tr>
        <w:tblPrEx/>
        <w:trPr/>
        <w:tc>
          <w:tcPr>
            <w:tcW w:w="8755" w:type="dxa"/>
            <w:gridSpan w:val="3"/>
            <w:tcBorders/>
            <w:shd w:val="clear" w:color="auto" w:fill="auto"/>
            <w:tcFitText w:val="false"/>
          </w:tcPr>
          <w:p>
            <w:pPr>
              <w:pStyle w:val="style0"/>
              <w:jc w:val="center"/>
              <w:rPr>
                <w:rFonts w:ascii="Arial" w:cs="Arial" w:hAnsi="Arial"/>
                <w:b/>
                <w:sz w:val="24"/>
                <w:szCs w:val="24"/>
              </w:rPr>
            </w:pPr>
            <w:r>
              <w:rPr>
                <w:rFonts w:ascii="Arial" w:cs="Arial" w:hAnsi="Arial"/>
                <w:b/>
                <w:sz w:val="24"/>
                <w:szCs w:val="24"/>
              </w:rPr>
              <w:t>Categorías de riesgo y morbilidad</w:t>
            </w:r>
          </w:p>
        </w:tc>
      </w:tr>
      <w:tr>
        <w:tblPrEx/>
        <w:trPr/>
        <w:tc>
          <w:tcPr>
            <w:tcW w:w="5070" w:type="dxa"/>
            <w:tcBorders/>
            <w:shd w:val="clear" w:color="auto" w:fill="auto"/>
            <w:tcFitText w:val="false"/>
          </w:tcPr>
          <w:p>
            <w:pPr>
              <w:pStyle w:val="style0"/>
              <w:rPr>
                <w:rFonts w:ascii="Arial" w:cs="Arial" w:hAnsi="Arial"/>
                <w:sz w:val="24"/>
                <w:szCs w:val="24"/>
              </w:rPr>
            </w:pPr>
            <w:r>
              <w:rPr>
                <w:rFonts w:ascii="Arial" w:cs="Arial" w:hAnsi="Arial"/>
                <w:sz w:val="24"/>
                <w:szCs w:val="24"/>
              </w:rPr>
              <w:t>Categorías</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Pacientes</w:t>
            </w:r>
          </w:p>
        </w:tc>
        <w:tc>
          <w:tcPr>
            <w:tcW w:w="1843"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Morbilidad</w:t>
            </w:r>
          </w:p>
        </w:tc>
      </w:tr>
      <w:tr>
        <w:tblPrEx/>
        <w:trPr/>
        <w:tc>
          <w:tcPr>
            <w:tcW w:w="5070" w:type="dxa"/>
            <w:tcBorders/>
            <w:shd w:val="clear" w:color="auto" w:fill="auto"/>
            <w:tcFitText w:val="false"/>
          </w:tcPr>
          <w:p>
            <w:pPr>
              <w:pStyle w:val="style0"/>
              <w:rPr>
                <w:rFonts w:ascii="Arial" w:cs="Arial" w:hAnsi="Arial"/>
                <w:sz w:val="24"/>
                <w:szCs w:val="24"/>
              </w:rPr>
            </w:pPr>
            <w:r>
              <w:rPr>
                <w:rFonts w:ascii="Arial" w:cs="Arial" w:hAnsi="Arial"/>
                <w:sz w:val="24"/>
                <w:szCs w:val="24"/>
              </w:rPr>
              <w:t>Categoría 1: riesgo bajo (0 a 3)</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111</w:t>
            </w:r>
          </w:p>
        </w:tc>
        <w:tc>
          <w:tcPr>
            <w:tcW w:w="1843" w:type="dxa"/>
            <w:tcBorders/>
            <w:shd w:val="clear" w:color="auto" w:fill="auto"/>
            <w:tcFitText w:val="false"/>
          </w:tcPr>
          <w:p>
            <w:pPr>
              <w:pStyle w:val="style0"/>
              <w:rPr>
                <w:rFonts w:ascii="Arial" w:cs="Arial" w:hAnsi="Arial"/>
                <w:sz w:val="24"/>
                <w:szCs w:val="24"/>
              </w:rPr>
            </w:pPr>
            <w:r>
              <w:rPr>
                <w:rFonts w:ascii="Arial" w:cs="Arial" w:hAnsi="Arial"/>
                <w:sz w:val="24"/>
                <w:szCs w:val="24"/>
              </w:rPr>
              <w:t xml:space="preserve">    (11): 9,9%</w:t>
            </w:r>
          </w:p>
        </w:tc>
      </w:tr>
      <w:tr>
        <w:tblPrEx/>
        <w:trPr/>
        <w:tc>
          <w:tcPr>
            <w:tcW w:w="5070" w:type="dxa"/>
            <w:tcBorders/>
            <w:shd w:val="clear" w:color="auto" w:fill="auto"/>
            <w:tcFitText w:val="false"/>
          </w:tcPr>
          <w:p>
            <w:pPr>
              <w:pStyle w:val="style0"/>
              <w:rPr>
                <w:rFonts w:ascii="Arial" w:cs="Arial" w:hAnsi="Arial"/>
                <w:sz w:val="24"/>
                <w:szCs w:val="24"/>
              </w:rPr>
            </w:pPr>
            <w:r>
              <w:rPr>
                <w:rFonts w:ascii="Arial" w:cs="Arial" w:hAnsi="Arial"/>
                <w:sz w:val="24"/>
                <w:szCs w:val="24"/>
              </w:rPr>
              <w:t>Categoría 2: riesgo moderado (4 a 11)</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90</w:t>
            </w:r>
          </w:p>
        </w:tc>
        <w:tc>
          <w:tcPr>
            <w:tcW w:w="1843"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(69): 76,7 %</w:t>
            </w:r>
          </w:p>
        </w:tc>
      </w:tr>
      <w:tr>
        <w:tblPrEx/>
        <w:trPr/>
        <w:tc>
          <w:tcPr>
            <w:tcW w:w="5070" w:type="dxa"/>
            <w:tcBorders/>
            <w:shd w:val="clear" w:color="auto" w:fill="auto"/>
            <w:tcFitText w:val="false"/>
          </w:tcPr>
          <w:p>
            <w:pPr>
              <w:pStyle w:val="style0"/>
              <w:rPr>
                <w:rFonts w:ascii="Arial" w:cs="Arial" w:hAnsi="Arial"/>
                <w:sz w:val="24"/>
                <w:szCs w:val="24"/>
              </w:rPr>
            </w:pPr>
            <w:r>
              <w:rPr>
                <w:rFonts w:ascii="Arial" w:cs="Arial" w:hAnsi="Arial"/>
                <w:sz w:val="24"/>
                <w:szCs w:val="24"/>
              </w:rPr>
              <w:t>Categoría 3: riesgo alto (12 a 16)</w:t>
            </w:r>
          </w:p>
        </w:tc>
        <w:tc>
          <w:tcPr>
            <w:tcW w:w="1842"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12</w:t>
            </w:r>
          </w:p>
        </w:tc>
        <w:tc>
          <w:tcPr>
            <w:tcW w:w="1843" w:type="dxa"/>
            <w:tcBorders/>
            <w:shd w:val="clear" w:color="auto" w:fill="auto"/>
            <w:tcFitText w:val="false"/>
          </w:tcPr>
          <w:p>
            <w:pPr>
              <w:pStyle w:val="style0"/>
              <w:jc w:val="center"/>
              <w:rPr>
                <w:rFonts w:ascii="Arial" w:cs="Arial" w:hAnsi="Arial"/>
                <w:sz w:val="24"/>
                <w:szCs w:val="24"/>
              </w:rPr>
            </w:pPr>
            <w:r>
              <w:rPr>
                <w:rFonts w:ascii="Arial" w:cs="Arial" w:hAnsi="Arial"/>
                <w:sz w:val="24"/>
                <w:szCs w:val="24"/>
              </w:rPr>
              <w:t>(12): 100  %</w:t>
            </w:r>
          </w:p>
        </w:tc>
      </w:tr>
    </w:tbl>
    <w:p>
      <w:pPr>
        <w:pStyle w:val="style0"/>
        <w:spacing w:after="0" w:lineRule="auto" w:line="360"/>
        <w:rPr>
          <w:rFonts w:ascii="Arial" w:cs="Arial" w:hAnsi="Arial"/>
          <w:sz w:val="24"/>
          <w:szCs w:val="24"/>
        </w:rPr>
      </w:pPr>
    </w:p>
    <w:p>
      <w:pPr>
        <w:pStyle w:val="style0"/>
        <w:spacing w:after="0" w:lineRule="auto" w:line="360"/>
        <w:rPr>
          <w:rFonts w:ascii="Arial" w:cs="Arial" w:hAnsi="Arial"/>
          <w:sz w:val="24"/>
          <w:szCs w:val="24"/>
        </w:rPr>
      </w:pPr>
    </w:p>
    <w:p>
      <w:pPr>
        <w:pStyle w:val="style0"/>
        <w:rPr>
          <w:rFonts w:ascii="Arial" w:cs="Arial" w:hAnsi="Arial"/>
          <w:b/>
          <w:sz w:val="24"/>
          <w:szCs w:val="24"/>
        </w:rPr>
      </w:pPr>
      <w:r>
        <w:rPr>
          <w:rFonts w:ascii="Arial" w:cs="Arial" w:hAnsi="Arial"/>
          <w:b/>
          <w:sz w:val="24"/>
          <w:szCs w:val="24"/>
        </w:rPr>
        <w:br w:type="page"/>
      </w:r>
    </w:p>
    <w:p>
      <w:pPr>
        <w:pStyle w:val="style0"/>
        <w:spacing w:after="0" w:lineRule="auto" w:line="360"/>
        <w:jc w:val="both"/>
        <w:rPr>
          <w:rFonts w:ascii="Arial" w:cs="Arial" w:hAnsi="Arial"/>
          <w:b/>
          <w:sz w:val="24"/>
          <w:szCs w:val="24"/>
        </w:rPr>
      </w:pPr>
      <w:r>
        <w:rPr>
          <w:rFonts w:ascii="Arial" w:cs="Arial" w:hAnsi="Arial"/>
          <w:b/>
          <w:sz w:val="24"/>
          <w:szCs w:val="24"/>
        </w:rPr>
        <w:t xml:space="preserve">Tabla </w:t>
      </w:r>
      <w:r>
        <w:rPr>
          <w:rFonts w:ascii="Arial" w:cs="Arial" w:hAnsi="Arial"/>
          <w:b/>
          <w:sz w:val="24"/>
          <w:szCs w:val="24"/>
        </w:rPr>
        <w:t>8</w:t>
      </w:r>
      <w:r>
        <w:rPr>
          <w:rFonts w:ascii="Arial" w:cs="Arial" w:hAnsi="Arial"/>
          <w:b/>
          <w:sz w:val="24"/>
          <w:szCs w:val="24"/>
        </w:rPr>
        <w:t xml:space="preserve">. </w:t>
      </w:r>
      <w:r>
        <w:rPr>
          <w:rFonts w:ascii="Arial" w:cs="Arial" w:hAnsi="Arial"/>
          <w:b/>
          <w:color w:val="000000"/>
          <w:sz w:val="24"/>
          <w:szCs w:val="24"/>
        </w:rPr>
        <w:t>Índice pronóstico de muerte por neumonía adquirida en la comunidad en los pacientes con enfermedad pulmonar obstructiva crónica</w:t>
      </w:r>
      <w:r>
        <w:rPr>
          <w:rFonts w:ascii="Arial" w:cs="Arial" w:hAnsi="Arial"/>
          <w:b/>
          <w:sz w:val="24"/>
          <w:szCs w:val="24"/>
        </w:rPr>
        <w:t>. Valores promedios del índice en pacientes fallecidos o no.</w:t>
      </w:r>
    </w:p>
    <w:p>
      <w:pPr>
        <w:pStyle w:val="style0"/>
        <w:autoSpaceDE w:val="false"/>
        <w:autoSpaceDN w:val="false"/>
        <w:adjustRightInd w:val="false"/>
        <w:spacing w:after="0" w:lineRule="auto" w:line="240"/>
        <w:rPr>
          <w:rFonts w:ascii="Arial" w:cs="Arial" w:hAnsi="Arial"/>
          <w:sz w:val="24"/>
          <w:szCs w:val="24"/>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9"/>
        <w:gridCol w:w="3307"/>
        <w:gridCol w:w="1134"/>
        <w:gridCol w:w="2126"/>
        <w:gridCol w:w="851"/>
      </w:tblGrid>
      <w:tr>
        <w:trPr>
          <w:cantSplit/>
        </w:trPr>
        <w:tc>
          <w:tcPr>
            <w:tcW w:w="799" w:type="dxa"/>
            <w:vMerge w:val="restart"/>
            <w:tcBorders/>
            <w:shd w:val="clear" w:color="auto" w:fill="auto"/>
            <w:tcFitText w:val="false"/>
          </w:tcPr>
          <w:p>
            <w:pPr>
              <w:pStyle w:val="style0"/>
              <w:autoSpaceDE w:val="false"/>
              <w:autoSpaceDN w:val="false"/>
              <w:adjustRightInd w:val="false"/>
              <w:spacing w:after="0" w:lineRule="atLeast" w:line="320"/>
              <w:ind w:left="60" w:right="60"/>
              <w:rPr>
                <w:rFonts w:ascii="Arial" w:cs="Arial" w:hAnsi="Arial"/>
                <w:sz w:val="24"/>
                <w:szCs w:val="24"/>
              </w:rPr>
            </w:pPr>
          </w:p>
          <w:p>
            <w:pPr>
              <w:pStyle w:val="style0"/>
              <w:autoSpaceDE w:val="false"/>
              <w:autoSpaceDN w:val="false"/>
              <w:adjustRightInd w:val="false"/>
              <w:spacing w:after="0" w:lineRule="atLeast" w:line="320"/>
              <w:ind w:left="60" w:right="60"/>
              <w:rPr>
                <w:rFonts w:ascii="Arial" w:cs="Arial" w:hAnsi="Arial"/>
                <w:sz w:val="24"/>
                <w:szCs w:val="24"/>
              </w:rPr>
            </w:pPr>
            <w:r>
              <w:rPr>
                <w:rFonts w:ascii="Arial" w:cs="Arial" w:hAnsi="Arial"/>
                <w:sz w:val="24"/>
                <w:szCs w:val="24"/>
              </w:rPr>
              <w:t>Índice</w:t>
            </w:r>
          </w:p>
        </w:tc>
        <w:tc>
          <w:tcPr>
            <w:tcW w:w="3307" w:type="dxa"/>
            <w:tcBorders/>
            <w:shd w:val="clear" w:color="auto" w:fill="auto"/>
            <w:tcFitText w:val="false"/>
            <w:vAlign w:val="bottom"/>
          </w:tcPr>
          <w:p>
            <w:pPr>
              <w:pStyle w:val="style0"/>
              <w:autoSpaceDE w:val="false"/>
              <w:autoSpaceDN w:val="false"/>
              <w:adjustRightInd w:val="false"/>
              <w:spacing w:after="0" w:lineRule="atLeast" w:line="320"/>
              <w:ind w:right="60"/>
              <w:rPr>
                <w:rFonts w:ascii="Arial" w:cs="Arial" w:hAnsi="Arial"/>
                <w:sz w:val="24"/>
                <w:szCs w:val="24"/>
              </w:rPr>
            </w:pPr>
            <w:r>
              <w:rPr>
                <w:rFonts w:ascii="Arial" w:cs="Arial" w:hAnsi="Arial"/>
                <w:sz w:val="24"/>
                <w:szCs w:val="24"/>
              </w:rPr>
              <w:t>Fallecidos</w:t>
            </w:r>
          </w:p>
        </w:tc>
        <w:tc>
          <w:tcPr>
            <w:tcW w:w="1134" w:type="dxa"/>
            <w:tcBorders/>
            <w:shd w:val="clear" w:color="auto" w:fill="auto"/>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Media</w:t>
            </w:r>
          </w:p>
        </w:tc>
        <w:tc>
          <w:tcPr>
            <w:tcW w:w="2126" w:type="dxa"/>
            <w:tcBorders/>
            <w:shd w:val="clear" w:color="auto" w:fill="auto"/>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Desv. Desviación</w:t>
            </w:r>
          </w:p>
        </w:tc>
        <w:tc>
          <w:tcPr>
            <w:tcW w:w="851" w:type="dxa"/>
            <w:tcBorders/>
            <w:shd w:val="clear" w:color="auto" w:fill="auto"/>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*p</w:t>
            </w:r>
          </w:p>
        </w:tc>
      </w:tr>
      <w:tr>
        <w:tblPrEx/>
        <w:trPr>
          <w:cantSplit/>
        </w:trPr>
        <w:tc>
          <w:tcPr>
            <w:tcW w:w="799" w:type="dxa"/>
            <w:vMerge w:val="continue"/>
            <w:tcBorders/>
            <w:shd w:val="clear" w:color="auto" w:fill="auto"/>
            <w:tcFitText w:val="false"/>
          </w:tcPr>
          <w:p>
            <w:pPr>
              <w:pStyle w:val="style0"/>
              <w:autoSpaceDE w:val="false"/>
              <w:autoSpaceDN w:val="false"/>
              <w:adjustRightInd w:val="false"/>
              <w:spacing w:after="0" w:lineRule="atLeast" w:line="320"/>
              <w:ind w:left="60" w:right="60"/>
              <w:rPr>
                <w:rFonts w:ascii="Arial" w:cs="Arial" w:hAnsi="Arial"/>
                <w:sz w:val="24"/>
                <w:szCs w:val="24"/>
              </w:rPr>
            </w:pPr>
          </w:p>
        </w:tc>
        <w:tc>
          <w:tcPr>
            <w:tcW w:w="3307" w:type="dxa"/>
            <w:tcBorders/>
            <w:shd w:val="clear" w:color="auto" w:fill="auto"/>
            <w:tcFitText w:val="false"/>
          </w:tcPr>
          <w:p>
            <w:pPr>
              <w:pStyle w:val="style0"/>
              <w:autoSpaceDE w:val="false"/>
              <w:autoSpaceDN w:val="false"/>
              <w:adjustRightInd w:val="false"/>
              <w:spacing w:after="0" w:lineRule="atLeast" w:line="320"/>
              <w:ind w:left="60" w:right="60"/>
              <w:rPr>
                <w:rFonts w:ascii="Arial" w:cs="Arial" w:hAnsi="Arial"/>
                <w:sz w:val="24"/>
                <w:szCs w:val="24"/>
              </w:rPr>
            </w:pPr>
            <w:r>
              <w:rPr>
                <w:rFonts w:ascii="Arial" w:cs="Arial" w:hAnsi="Arial"/>
                <w:sz w:val="24"/>
                <w:szCs w:val="24"/>
              </w:rPr>
              <w:t>Sí</w:t>
            </w:r>
          </w:p>
        </w:tc>
        <w:tc>
          <w:tcPr>
            <w:tcW w:w="1134" w:type="dxa"/>
            <w:tcBorders/>
            <w:shd w:val="clear" w:color="auto" w:fill="auto"/>
            <w:tcFitText w:val="false"/>
          </w:tcPr>
          <w:p>
            <w:pPr>
              <w:pStyle w:val="style0"/>
              <w:autoSpaceDE w:val="false"/>
              <w:autoSpaceDN w:val="false"/>
              <w:adjustRightInd w:val="false"/>
              <w:spacing w:after="0" w:lineRule="atLeast" w:line="320"/>
              <w:ind w:left="60" w:right="60"/>
              <w:jc w:val="right"/>
              <w:rPr>
                <w:rFonts w:ascii="Arial" w:cs="Arial" w:hAnsi="Arial"/>
                <w:color w:val="010205"/>
                <w:sz w:val="24"/>
                <w:szCs w:val="24"/>
              </w:rPr>
            </w:pPr>
            <w:r>
              <w:rPr>
                <w:rFonts w:ascii="Arial" w:cs="Arial" w:hAnsi="Arial"/>
                <w:color w:val="010205"/>
                <w:sz w:val="24"/>
                <w:szCs w:val="24"/>
              </w:rPr>
              <w:t>5,64</w:t>
            </w:r>
          </w:p>
        </w:tc>
        <w:tc>
          <w:tcPr>
            <w:tcW w:w="2126" w:type="dxa"/>
            <w:tcBorders/>
            <w:shd w:val="clear" w:color="auto" w:fill="auto"/>
            <w:tcFitText w:val="false"/>
          </w:tcPr>
          <w:p>
            <w:pPr>
              <w:pStyle w:val="style0"/>
              <w:autoSpaceDE w:val="false"/>
              <w:autoSpaceDN w:val="false"/>
              <w:adjustRightInd w:val="false"/>
              <w:spacing w:after="0" w:lineRule="atLeast" w:line="320"/>
              <w:ind w:left="60" w:right="60"/>
              <w:jc w:val="right"/>
              <w:rPr>
                <w:rFonts w:ascii="Arial" w:cs="Arial" w:hAnsi="Arial"/>
                <w:color w:val="010205"/>
                <w:sz w:val="24"/>
                <w:szCs w:val="24"/>
              </w:rPr>
            </w:pPr>
            <w:r>
              <w:rPr>
                <w:rFonts w:ascii="Arial" w:cs="Arial" w:hAnsi="Arial"/>
                <w:color w:val="010205"/>
                <w:sz w:val="24"/>
                <w:szCs w:val="24"/>
              </w:rPr>
              <w:t>2,42</w:t>
            </w:r>
          </w:p>
        </w:tc>
        <w:tc>
          <w:tcPr>
            <w:tcW w:w="851" w:type="dxa"/>
            <w:vMerge w:val="restart"/>
            <w:tcBorders/>
            <w:shd w:val="clear" w:color="auto" w:fill="auto"/>
            <w:tcFitText w:val="false"/>
          </w:tcPr>
          <w:p>
            <w:pPr>
              <w:pStyle w:val="style0"/>
              <w:autoSpaceDE w:val="false"/>
              <w:autoSpaceDN w:val="false"/>
              <w:adjustRightInd w:val="false"/>
              <w:spacing w:after="0" w:lineRule="atLeast" w:line="320"/>
              <w:ind w:left="60" w:right="60"/>
              <w:jc w:val="right"/>
              <w:rPr>
                <w:rFonts w:ascii="Arial" w:cs="Arial" w:hAnsi="Arial"/>
                <w:sz w:val="24"/>
                <w:szCs w:val="24"/>
              </w:rPr>
            </w:pPr>
          </w:p>
          <w:p>
            <w:pPr>
              <w:pStyle w:val="style0"/>
              <w:autoSpaceDE w:val="false"/>
              <w:autoSpaceDN w:val="false"/>
              <w:adjustRightInd w:val="false"/>
              <w:spacing w:after="0" w:lineRule="atLeast" w:line="320"/>
              <w:ind w:left="60" w:right="60"/>
              <w:jc w:val="right"/>
              <w:rPr>
                <w:rFonts w:ascii="Arial" w:cs="Arial" w:hAnsi="Arial"/>
                <w:sz w:val="24"/>
                <w:szCs w:val="24"/>
              </w:rPr>
            </w:pPr>
            <w:r>
              <w:rPr>
                <w:rFonts w:ascii="Arial" w:cs="Arial" w:hAnsi="Arial"/>
                <w:sz w:val="24"/>
                <w:szCs w:val="24"/>
              </w:rPr>
              <w:t>0,002</w:t>
            </w:r>
          </w:p>
        </w:tc>
      </w:tr>
      <w:tr>
        <w:tblPrEx/>
        <w:trPr>
          <w:cantSplit/>
        </w:trPr>
        <w:tc>
          <w:tcPr>
            <w:tcW w:w="799" w:type="dxa"/>
            <w:vMerge w:val="continue"/>
            <w:tcBorders/>
            <w:shd w:val="clear" w:color="auto" w:fill="auto"/>
            <w:tcFitText w:val="false"/>
          </w:tcPr>
          <w:p>
            <w:pPr>
              <w:pStyle w:val="style0"/>
              <w:autoSpaceDE w:val="false"/>
              <w:autoSpaceDN w:val="false"/>
              <w:adjustRightInd w:val="false"/>
              <w:spacing w:after="0" w:lineRule="auto" w:line="240"/>
              <w:rPr>
                <w:rFonts w:ascii="Arial" w:cs="Arial" w:hAnsi="Arial"/>
                <w:sz w:val="24"/>
                <w:szCs w:val="24"/>
              </w:rPr>
            </w:pPr>
          </w:p>
        </w:tc>
        <w:tc>
          <w:tcPr>
            <w:tcW w:w="3307" w:type="dxa"/>
            <w:tcBorders/>
            <w:shd w:val="clear" w:color="auto" w:fill="auto"/>
            <w:tcFitText w:val="false"/>
          </w:tcPr>
          <w:p>
            <w:pPr>
              <w:pStyle w:val="style0"/>
              <w:autoSpaceDE w:val="false"/>
              <w:autoSpaceDN w:val="false"/>
              <w:adjustRightInd w:val="false"/>
              <w:spacing w:after="0" w:lineRule="atLeast" w:line="320"/>
              <w:ind w:left="60" w:right="60"/>
              <w:rPr>
                <w:rFonts w:ascii="Arial" w:cs="Arial" w:hAnsi="Arial"/>
                <w:sz w:val="24"/>
                <w:szCs w:val="24"/>
              </w:rPr>
            </w:pPr>
            <w:r>
              <w:rPr>
                <w:rFonts w:ascii="Arial" w:cs="Arial" w:hAnsi="Arial"/>
                <w:sz w:val="24"/>
                <w:szCs w:val="24"/>
              </w:rPr>
              <w:t>No</w:t>
            </w:r>
          </w:p>
        </w:tc>
        <w:tc>
          <w:tcPr>
            <w:tcW w:w="1134" w:type="dxa"/>
            <w:tcBorders/>
            <w:shd w:val="clear" w:color="auto" w:fill="auto"/>
            <w:tcFitText w:val="false"/>
          </w:tcPr>
          <w:p>
            <w:pPr>
              <w:pStyle w:val="style0"/>
              <w:autoSpaceDE w:val="false"/>
              <w:autoSpaceDN w:val="false"/>
              <w:adjustRightInd w:val="false"/>
              <w:spacing w:after="0" w:lineRule="atLeast" w:line="320"/>
              <w:ind w:left="60" w:right="60"/>
              <w:jc w:val="right"/>
              <w:rPr>
                <w:rFonts w:ascii="Arial" w:cs="Arial" w:hAnsi="Arial"/>
                <w:color w:val="010205"/>
                <w:sz w:val="24"/>
                <w:szCs w:val="24"/>
              </w:rPr>
            </w:pPr>
            <w:r>
              <w:rPr>
                <w:rFonts w:ascii="Arial" w:cs="Arial" w:hAnsi="Arial"/>
                <w:color w:val="010205"/>
                <w:sz w:val="24"/>
                <w:szCs w:val="24"/>
              </w:rPr>
              <w:t>1,34</w:t>
            </w:r>
          </w:p>
        </w:tc>
        <w:tc>
          <w:tcPr>
            <w:tcW w:w="2126" w:type="dxa"/>
            <w:tcBorders/>
            <w:shd w:val="clear" w:color="auto" w:fill="auto"/>
            <w:tcFitText w:val="false"/>
          </w:tcPr>
          <w:p>
            <w:pPr>
              <w:pStyle w:val="style0"/>
              <w:autoSpaceDE w:val="false"/>
              <w:autoSpaceDN w:val="false"/>
              <w:adjustRightInd w:val="false"/>
              <w:spacing w:after="0" w:lineRule="atLeast" w:line="320"/>
              <w:ind w:left="60" w:right="60"/>
              <w:jc w:val="right"/>
              <w:rPr>
                <w:rFonts w:ascii="Arial" w:cs="Arial" w:hAnsi="Arial"/>
                <w:color w:val="010205"/>
                <w:sz w:val="24"/>
                <w:szCs w:val="24"/>
              </w:rPr>
            </w:pPr>
            <w:r>
              <w:rPr>
                <w:rFonts w:ascii="Arial" w:cs="Arial" w:hAnsi="Arial"/>
                <w:color w:val="010205"/>
                <w:sz w:val="24"/>
                <w:szCs w:val="24"/>
              </w:rPr>
              <w:t>1,74</w:t>
            </w:r>
          </w:p>
        </w:tc>
        <w:tc>
          <w:tcPr>
            <w:tcW w:w="851" w:type="dxa"/>
            <w:vMerge w:val="continue"/>
            <w:tcBorders/>
            <w:shd w:val="clear" w:color="auto" w:fill="auto"/>
            <w:tcFitText w:val="false"/>
          </w:tcPr>
          <w:p>
            <w:pPr>
              <w:pStyle w:val="style0"/>
              <w:autoSpaceDE w:val="false"/>
              <w:autoSpaceDN w:val="false"/>
              <w:adjustRightInd w:val="false"/>
              <w:spacing w:after="0" w:lineRule="atLeast" w:line="320"/>
              <w:ind w:left="60" w:right="60"/>
              <w:jc w:val="right"/>
              <w:rPr>
                <w:rFonts w:ascii="Arial" w:cs="Arial" w:hAnsi="Arial"/>
                <w:sz w:val="24"/>
                <w:szCs w:val="24"/>
              </w:rPr>
            </w:pPr>
          </w:p>
        </w:tc>
      </w:tr>
    </w:tbl>
    <w:p>
      <w:pPr>
        <w:pStyle w:val="style0"/>
        <w:spacing w:after="0" w:lineRule="auto" w:line="360"/>
        <w:rPr>
          <w:rFonts w:ascii="Arial" w:cs="Arial" w:hAnsi="Arial"/>
          <w:sz w:val="24"/>
          <w:szCs w:val="24"/>
        </w:rPr>
      </w:pPr>
    </w:p>
    <w:p>
      <w:pPr>
        <w:pStyle w:val="style0"/>
        <w:spacing w:after="0" w:lineRule="auto" w:line="360"/>
        <w:rPr>
          <w:rFonts w:ascii="Arial" w:cs="Arial" w:hAnsi="Arial"/>
          <w:b/>
          <w:sz w:val="24"/>
          <w:szCs w:val="24"/>
        </w:rPr>
      </w:pPr>
      <w:r>
        <w:rPr>
          <w:rFonts w:ascii="Arial" w:cs="Arial" w:hAnsi="Arial"/>
          <w:b/>
          <w:sz w:val="24"/>
          <w:szCs w:val="24"/>
        </w:rPr>
        <w:t xml:space="preserve">*p = 0,000 indica &lt; 0,001   </w:t>
      </w:r>
    </w:p>
    <w:p>
      <w:pPr>
        <w:pStyle w:val="style0"/>
        <w:spacing w:after="0" w:lineRule="auto" w:line="360"/>
        <w:rPr>
          <w:rFonts w:ascii="Arial" w:cs="Arial" w:hAnsi="Arial"/>
          <w:sz w:val="24"/>
          <w:szCs w:val="24"/>
        </w:rPr>
      </w:pPr>
    </w:p>
    <w:p>
      <w:pPr>
        <w:pStyle w:val="style0"/>
        <w:autoSpaceDE w:val="false"/>
        <w:autoSpaceDN w:val="false"/>
        <w:adjustRightInd w:val="false"/>
        <w:spacing w:after="0" w:lineRule="atLeast" w:line="400"/>
        <w:rPr>
          <w:rFonts w:ascii="Arial" w:cs="Arial" w:hAnsi="Arial"/>
          <w:sz w:val="24"/>
          <w:szCs w:val="24"/>
        </w:rPr>
      </w:pPr>
    </w:p>
    <w:p>
      <w:pPr>
        <w:pStyle w:val="style0"/>
        <w:rPr>
          <w:rFonts w:ascii="Arial" w:cs="Arial" w:hAnsi="Arial"/>
          <w:sz w:val="24"/>
          <w:szCs w:val="24"/>
        </w:rPr>
      </w:pPr>
    </w:p>
    <w:p>
      <w:pPr>
        <w:pStyle w:val="style0"/>
        <w:spacing w:after="0" w:lineRule="auto" w:line="360"/>
        <w:rPr>
          <w:rFonts w:ascii="Arial" w:cs="Arial" w:hAnsi="Arial"/>
          <w:sz w:val="24"/>
          <w:szCs w:val="24"/>
        </w:rPr>
      </w:pPr>
    </w:p>
    <w:p>
      <w:pPr>
        <w:pStyle w:val="style0"/>
        <w:autoSpaceDE w:val="false"/>
        <w:autoSpaceDN w:val="false"/>
        <w:adjustRightInd w:val="false"/>
        <w:spacing w:after="0" w:lineRule="auto" w:line="240"/>
        <w:rPr>
          <w:rFonts w:ascii="Arial" w:cs="Arial" w:hAnsi="Arial"/>
          <w:sz w:val="24"/>
          <w:szCs w:val="24"/>
        </w:rPr>
      </w:pPr>
    </w:p>
    <w:p>
      <w:pPr>
        <w:pStyle w:val="style0"/>
        <w:rPr>
          <w:rFonts w:ascii="Arial" w:cs="Arial" w:hAnsi="Arial"/>
          <w:sz w:val="24"/>
          <w:szCs w:val="24"/>
        </w:rPr>
      </w:pPr>
      <w:r>
        <w:rPr>
          <w:rFonts w:ascii="Arial" w:cs="Arial" w:hAnsi="Arial"/>
          <w:sz w:val="24"/>
          <w:szCs w:val="24"/>
        </w:rPr>
        <w:br w:type="page"/>
      </w:r>
    </w:p>
    <w:p>
      <w:pPr>
        <w:pStyle w:val="style0"/>
        <w:jc w:val="both"/>
        <w:rPr>
          <w:rFonts w:ascii="Arial" w:cs="Arial" w:eastAsia="TimesNewRoman,Bold" w:hAnsi="Arial"/>
          <w:b/>
          <w:bCs/>
          <w:sz w:val="24"/>
          <w:szCs w:val="24"/>
          <w:lang w:eastAsia="es-ES"/>
        </w:rPr>
      </w:pPr>
      <w:r>
        <w:rPr>
          <w:rFonts w:ascii="Arial" w:cs="Arial" w:hAnsi="Arial"/>
          <w:b/>
          <w:sz w:val="24"/>
          <w:szCs w:val="24"/>
        </w:rPr>
        <w:t xml:space="preserve">Figura 1. </w:t>
      </w:r>
      <w:r>
        <w:rPr>
          <w:rFonts w:ascii="Arial" w:cs="Arial" w:eastAsia="TimesNewRoman,Bold" w:hAnsi="Arial"/>
          <w:b/>
          <w:bCs/>
          <w:sz w:val="24"/>
          <w:szCs w:val="24"/>
          <w:lang w:eastAsia="es-ES"/>
        </w:rPr>
        <w:t xml:space="preserve">Evaluación de la capacidad discriminativa del índice </w:t>
      </w:r>
      <w:r>
        <w:rPr>
          <w:rFonts w:ascii="Arial" w:cs="Arial" w:hAnsi="Arial"/>
          <w:b/>
          <w:color w:val="000000"/>
          <w:sz w:val="24"/>
          <w:szCs w:val="24"/>
        </w:rPr>
        <w:t>pronóstico de muerte por neumonía adquirida en la comunidad en los pacientes con enfermedad pulmonar obstructiva crónica</w:t>
      </w:r>
      <w:r>
        <w:rPr>
          <w:rFonts w:ascii="Arial" w:cs="Arial" w:eastAsia="TimesNewRoman,Bold" w:hAnsi="Arial"/>
          <w:b/>
          <w:bCs/>
          <w:sz w:val="24"/>
          <w:szCs w:val="24"/>
          <w:lang w:eastAsia="es-ES"/>
        </w:rPr>
        <w:t xml:space="preserve">. </w:t>
      </w:r>
    </w:p>
    <w:p>
      <w:pPr>
        <w:pStyle w:val="style0"/>
        <w:autoSpaceDE w:val="false"/>
        <w:autoSpaceDN w:val="false"/>
        <w:adjustRightInd w:val="false"/>
        <w:spacing w:after="0" w:lineRule="auto" w:line="240"/>
        <w:rPr>
          <w:rFonts w:ascii="Arial" w:cs="Arial" w:hAnsi="Arial"/>
          <w:sz w:val="24"/>
          <w:szCs w:val="24"/>
        </w:rPr>
      </w:pPr>
      <w:r>
        <w:rPr>
          <w:rFonts w:ascii="Arial" w:cs="Arial" w:hAnsi="Arial"/>
          <w:noProof/>
          <w:sz w:val="24"/>
          <w:szCs w:val="24"/>
          <w:lang w:val="es-ES" w:eastAsia="es-ES"/>
        </w:rPr>
        <w:drawing>
          <wp:inline distT="0" distB="0" distL="0" distR="0">
            <wp:extent cx="5972174" cy="3514725"/>
            <wp:effectExtent l="0" t="0" r="9525" b="9525"/>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5972174" cy="3514725"/>
                    </a:xfrm>
                    <a:prstGeom prst="rect">
                      <a:avLst/>
                    </a:prstGeom>
                  </pic:spPr>
                </pic:pic>
              </a:graphicData>
            </a:graphic>
          </wp:inline>
        </w:drawing>
      </w:r>
    </w:p>
    <w:p>
      <w:pPr>
        <w:pStyle w:val="style0"/>
        <w:autoSpaceDE w:val="false"/>
        <w:autoSpaceDN w:val="false"/>
        <w:adjustRightInd w:val="false"/>
        <w:spacing w:after="0" w:lineRule="auto" w:line="240"/>
        <w:rPr>
          <w:rFonts w:ascii="Arial" w:cs="Arial" w:hAnsi="Arial"/>
          <w:sz w:val="24"/>
          <w:szCs w:val="24"/>
        </w:rPr>
      </w:pPr>
    </w:p>
    <w:p>
      <w:pPr>
        <w:pStyle w:val="style0"/>
        <w:autoSpaceDE w:val="false"/>
        <w:autoSpaceDN w:val="false"/>
        <w:adjustRightInd w:val="false"/>
        <w:spacing w:after="0" w:lineRule="atLeast" w:line="400"/>
        <w:rPr>
          <w:rFonts w:ascii="Arial" w:cs="Arial" w:hAnsi="Arial"/>
          <w:sz w:val="24"/>
          <w:szCs w:val="24"/>
        </w:rPr>
      </w:pPr>
    </w:p>
    <w:p>
      <w:pPr>
        <w:pStyle w:val="style0"/>
        <w:autoSpaceDE w:val="false"/>
        <w:autoSpaceDN w:val="false"/>
        <w:adjustRightInd w:val="false"/>
        <w:spacing w:after="0" w:lineRule="auto" w:line="240"/>
        <w:rPr>
          <w:rFonts w:ascii="Arial" w:cs="Arial" w:hAnsi="Arial"/>
          <w:sz w:val="24"/>
          <w:szCs w:val="24"/>
        </w:rPr>
      </w:pPr>
    </w:p>
    <w:p>
      <w:pPr>
        <w:pStyle w:val="style0"/>
        <w:autoSpaceDE w:val="false"/>
        <w:autoSpaceDN w:val="false"/>
        <w:adjustRightInd w:val="false"/>
        <w:spacing w:after="0" w:lineRule="atLeast" w:line="400"/>
        <w:rPr>
          <w:rFonts w:ascii="Arial" w:cs="Arial" w:hAnsi="Arial"/>
          <w:b/>
          <w:sz w:val="24"/>
          <w:szCs w:val="24"/>
        </w:rPr>
      </w:pPr>
      <w:r>
        <w:rPr>
          <w:rFonts w:ascii="Arial" w:cs="Arial" w:hAnsi="Arial"/>
          <w:b/>
          <w:sz w:val="24"/>
          <w:szCs w:val="24"/>
        </w:rPr>
        <w:t>Área bajo la curva</w:t>
      </w:r>
    </w:p>
    <w:p>
      <w:pPr>
        <w:pStyle w:val="style0"/>
        <w:autoSpaceDE w:val="false"/>
        <w:autoSpaceDN w:val="false"/>
        <w:adjustRightInd w:val="false"/>
        <w:spacing w:after="0" w:lineRule="auto" w:line="240"/>
        <w:rPr>
          <w:rFonts w:ascii="Arial" w:cs="Arial" w:hAnsi="Arial"/>
          <w:sz w:val="24"/>
          <w:szCs w:val="24"/>
        </w:rPr>
      </w:pPr>
    </w:p>
    <w:tbl>
      <w:tblPr>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417"/>
        <w:gridCol w:w="1040"/>
        <w:gridCol w:w="1493"/>
        <w:gridCol w:w="1493"/>
      </w:tblGrid>
      <w:tr>
        <w:trPr>
          <w:cantSplit/>
        </w:trPr>
        <w:tc>
          <w:tcPr>
            <w:tcW w:w="1413" w:type="dxa"/>
            <w:vMerge w:val="restart"/>
            <w:tcBorders/>
            <w:shd w:val="clear" w:color="auto" w:fill="ffffff"/>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Área</w:t>
            </w:r>
          </w:p>
        </w:tc>
        <w:tc>
          <w:tcPr>
            <w:tcW w:w="1417" w:type="dxa"/>
            <w:vMerge w:val="restart"/>
            <w:tcBorders/>
            <w:shd w:val="clear" w:color="auto" w:fill="ffffff"/>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Desviación Error</w:t>
            </w:r>
          </w:p>
        </w:tc>
        <w:tc>
          <w:tcPr>
            <w:tcW w:w="1040" w:type="dxa"/>
            <w:vMerge w:val="restart"/>
            <w:tcBorders/>
            <w:shd w:val="clear" w:color="auto" w:fill="ffffff"/>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p</w:t>
            </w:r>
          </w:p>
        </w:tc>
        <w:tc>
          <w:tcPr>
            <w:tcW w:w="2986" w:type="dxa"/>
            <w:gridSpan w:val="2"/>
            <w:tcBorders/>
            <w:shd w:val="clear" w:color="auto" w:fill="ffffff"/>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95% de intervalo de confianza asintótico</w:t>
            </w:r>
          </w:p>
        </w:tc>
      </w:tr>
      <w:tr>
        <w:tblPrEx/>
        <w:trPr>
          <w:cantSplit/>
        </w:trPr>
        <w:tc>
          <w:tcPr>
            <w:tcW w:w="1413" w:type="dxa"/>
            <w:vMerge w:val="continue"/>
            <w:tcBorders/>
            <w:shd w:val="clear" w:color="auto" w:fill="ffffff"/>
            <w:tcFitText w:val="false"/>
            <w:vAlign w:val="bottom"/>
          </w:tcPr>
          <w:p>
            <w:pPr>
              <w:pStyle w:val="style0"/>
              <w:autoSpaceDE w:val="false"/>
              <w:autoSpaceDN w:val="false"/>
              <w:adjustRightInd w:val="false"/>
              <w:spacing w:after="0" w:lineRule="auto" w:line="240"/>
              <w:rPr>
                <w:rFonts w:ascii="Arial" w:cs="Arial" w:hAnsi="Arial"/>
                <w:sz w:val="24"/>
                <w:szCs w:val="24"/>
              </w:rPr>
            </w:pPr>
          </w:p>
        </w:tc>
        <w:tc>
          <w:tcPr>
            <w:tcW w:w="1417" w:type="dxa"/>
            <w:vMerge w:val="continue"/>
            <w:tcBorders/>
            <w:shd w:val="clear" w:color="auto" w:fill="ffffff"/>
            <w:tcFitText w:val="false"/>
            <w:vAlign w:val="bottom"/>
          </w:tcPr>
          <w:p>
            <w:pPr>
              <w:pStyle w:val="style0"/>
              <w:autoSpaceDE w:val="false"/>
              <w:autoSpaceDN w:val="false"/>
              <w:adjustRightInd w:val="false"/>
              <w:spacing w:after="0" w:lineRule="auto" w:line="240"/>
              <w:rPr>
                <w:rFonts w:ascii="Arial" w:cs="Arial" w:hAnsi="Arial"/>
                <w:sz w:val="24"/>
                <w:szCs w:val="24"/>
              </w:rPr>
            </w:pPr>
          </w:p>
        </w:tc>
        <w:tc>
          <w:tcPr>
            <w:tcW w:w="1040" w:type="dxa"/>
            <w:vMerge w:val="continue"/>
            <w:tcBorders/>
            <w:shd w:val="clear" w:color="auto" w:fill="ffffff"/>
            <w:tcFitText w:val="false"/>
            <w:vAlign w:val="bottom"/>
          </w:tcPr>
          <w:p>
            <w:pPr>
              <w:pStyle w:val="style0"/>
              <w:autoSpaceDE w:val="false"/>
              <w:autoSpaceDN w:val="false"/>
              <w:adjustRightInd w:val="false"/>
              <w:spacing w:after="0" w:lineRule="auto" w:line="240"/>
              <w:rPr>
                <w:rFonts w:ascii="Arial" w:cs="Arial" w:hAnsi="Arial"/>
                <w:sz w:val="24"/>
                <w:szCs w:val="24"/>
              </w:rPr>
            </w:pPr>
          </w:p>
        </w:tc>
        <w:tc>
          <w:tcPr>
            <w:tcW w:w="1493" w:type="dxa"/>
            <w:tcBorders/>
            <w:shd w:val="clear" w:color="auto" w:fill="ffffff"/>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Límite inferior</w:t>
            </w:r>
          </w:p>
        </w:tc>
        <w:tc>
          <w:tcPr>
            <w:tcW w:w="1493" w:type="dxa"/>
            <w:tcBorders/>
            <w:shd w:val="clear" w:color="auto" w:fill="ffffff"/>
            <w:tcFitText w:val="false"/>
            <w:vAlign w:val="bottom"/>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Límite superior</w:t>
            </w:r>
          </w:p>
        </w:tc>
      </w:tr>
      <w:tr>
        <w:tblPrEx/>
        <w:trPr>
          <w:cantSplit/>
        </w:trPr>
        <w:tc>
          <w:tcPr>
            <w:tcW w:w="1413" w:type="dxa"/>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0,915</w:t>
            </w:r>
          </w:p>
        </w:tc>
        <w:tc>
          <w:tcPr>
            <w:tcW w:w="1417" w:type="dxa"/>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0,019</w:t>
            </w:r>
          </w:p>
        </w:tc>
        <w:tc>
          <w:tcPr>
            <w:tcW w:w="1040" w:type="dxa"/>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0,000</w:t>
            </w:r>
          </w:p>
        </w:tc>
        <w:tc>
          <w:tcPr>
            <w:tcW w:w="1493" w:type="dxa"/>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0,878</w:t>
            </w:r>
          </w:p>
        </w:tc>
        <w:tc>
          <w:tcPr>
            <w:tcW w:w="1493" w:type="dxa"/>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sz w:val="24"/>
                <w:szCs w:val="24"/>
              </w:rPr>
              <w:t>0,953</w:t>
            </w:r>
          </w:p>
        </w:tc>
      </w:tr>
      <w:tr>
        <w:tblPrEx/>
        <w:trPr>
          <w:cantSplit/>
        </w:trPr>
        <w:tc>
          <w:tcPr>
            <w:tcW w:w="3870" w:type="dxa"/>
            <w:gridSpan w:val="3"/>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b/>
                <w:bCs/>
                <w:color w:val="010205"/>
                <w:sz w:val="24"/>
                <w:szCs w:val="24"/>
              </w:rPr>
              <w:t xml:space="preserve">Prueba de </w:t>
            </w:r>
            <w:r>
              <w:rPr>
                <w:rFonts w:ascii="Arial" w:cs="Arial" w:hAnsi="Arial"/>
                <w:b/>
                <w:bCs/>
                <w:color w:val="010205"/>
                <w:sz w:val="24"/>
                <w:szCs w:val="24"/>
              </w:rPr>
              <w:t>Hosmer y Lemeshow</w:t>
            </w:r>
          </w:p>
        </w:tc>
        <w:tc>
          <w:tcPr>
            <w:tcW w:w="1493" w:type="dxa"/>
            <w:tcBorders/>
            <w:shd w:val="clear" w:color="auto" w:fill="ffffff"/>
            <w:tcFitText w:val="false"/>
          </w:tcPr>
          <w:p>
            <w:pPr>
              <w:pStyle w:val="style0"/>
              <w:autoSpaceDE w:val="false"/>
              <w:autoSpaceDN w:val="false"/>
              <w:adjustRightInd w:val="false"/>
              <w:spacing w:after="0" w:lineRule="atLeast" w:line="320"/>
              <w:ind w:left="60" w:right="60"/>
              <w:jc w:val="center"/>
              <w:rPr>
                <w:rFonts w:ascii="Arial" w:cs="Arial" w:hAnsi="Arial"/>
                <w:sz w:val="24"/>
                <w:szCs w:val="24"/>
              </w:rPr>
            </w:pPr>
            <w:r>
              <w:rPr>
                <w:rFonts w:ascii="Arial" w:cs="Arial" w:hAnsi="Arial"/>
                <w:b/>
                <w:bCs/>
                <w:color w:val="010205"/>
                <w:sz w:val="24"/>
                <w:szCs w:val="24"/>
              </w:rPr>
              <w:t>X</w:t>
            </w:r>
            <w:r>
              <w:rPr>
                <w:rFonts w:ascii="Arial" w:cs="Arial" w:hAnsi="Arial"/>
                <w:b/>
                <w:bCs/>
                <w:color w:val="010205"/>
                <w:sz w:val="24"/>
                <w:szCs w:val="24"/>
                <w:vertAlign w:val="superscript"/>
              </w:rPr>
              <w:t>2</w:t>
            </w:r>
            <w:r>
              <w:rPr>
                <w:rFonts w:ascii="Arial" w:cs="Arial" w:hAnsi="Arial"/>
                <w:b/>
                <w:bCs/>
                <w:color w:val="010205"/>
                <w:sz w:val="24"/>
                <w:szCs w:val="24"/>
              </w:rPr>
              <w:t xml:space="preserve"> = </w:t>
            </w:r>
            <w:r>
              <w:rPr>
                <w:rFonts w:ascii="Arial" w:cs="Arial" w:hAnsi="Arial"/>
                <w:b/>
                <w:color w:val="010205"/>
                <w:sz w:val="24"/>
                <w:szCs w:val="24"/>
              </w:rPr>
              <w:t>3,758</w:t>
            </w:r>
          </w:p>
        </w:tc>
        <w:tc>
          <w:tcPr>
            <w:tcW w:w="1493" w:type="dxa"/>
            <w:tcBorders/>
            <w:shd w:val="clear" w:color="auto" w:fill="ffffff"/>
            <w:tcFitText w:val="false"/>
          </w:tcPr>
          <w:p>
            <w:pPr>
              <w:pStyle w:val="style0"/>
              <w:spacing w:after="0" w:lineRule="auto" w:line="360"/>
              <w:jc w:val="center"/>
              <w:rPr>
                <w:rFonts w:ascii="Arial" w:cs="Arial" w:hAnsi="Arial"/>
                <w:sz w:val="24"/>
                <w:szCs w:val="24"/>
              </w:rPr>
            </w:pPr>
            <w:r>
              <w:rPr>
                <w:rFonts w:ascii="Arial" w:cs="Arial" w:hAnsi="Arial"/>
                <w:b/>
                <w:bCs/>
                <w:color w:val="010205"/>
                <w:sz w:val="24"/>
                <w:szCs w:val="24"/>
              </w:rPr>
              <w:t>p= 0,807</w:t>
            </w:r>
          </w:p>
        </w:tc>
      </w:tr>
    </w:tbl>
    <w:p>
      <w:pPr>
        <w:pStyle w:val="style0"/>
        <w:rPr>
          <w:rFonts w:ascii="Arial" w:cs="Arial" w:hAnsi="Arial"/>
          <w:sz w:val="24"/>
          <w:szCs w:val="24"/>
        </w:rPr>
      </w:pPr>
    </w:p>
    <w:p>
      <w:pPr>
        <w:pStyle w:val="style0"/>
        <w:spacing w:after="0" w:lineRule="auto" w:line="360"/>
        <w:rPr>
          <w:rFonts w:ascii="Arial" w:cs="Arial" w:hAnsi="Arial"/>
          <w:sz w:val="24"/>
          <w:szCs w:val="24"/>
        </w:rPr>
      </w:pPr>
    </w:p>
    <w:p>
      <w:pPr>
        <w:pStyle w:val="style0"/>
        <w:rPr>
          <w:rFonts w:ascii="Arial" w:cs="Arial" w:hAnsi="Arial"/>
          <w:sz w:val="24"/>
          <w:szCs w:val="24"/>
        </w:rPr>
      </w:pPr>
      <w:r>
        <w:rPr>
          <w:rFonts w:ascii="Arial" w:cs="Arial" w:hAnsi="Arial"/>
          <w:sz w:val="24"/>
          <w:szCs w:val="24"/>
        </w:rPr>
        <w:br w:type="page"/>
      </w:r>
    </w:p>
    <w:p>
      <w:pPr>
        <w:pStyle w:val="style0"/>
        <w:spacing w:after="0" w:lineRule="auto" w:line="360"/>
        <w:rPr>
          <w:rFonts w:ascii="Arial" w:cs="Arial" w:hAnsi="Arial"/>
          <w:b/>
          <w:sz w:val="24"/>
          <w:szCs w:val="24"/>
        </w:rPr>
      </w:pPr>
      <w:r>
        <w:rPr>
          <w:rFonts w:ascii="Arial" w:cs="Arial" w:hAnsi="Arial"/>
          <w:b/>
          <w:sz w:val="24"/>
          <w:szCs w:val="24"/>
          <w:lang w:eastAsia="es-VE"/>
        </w:rPr>
        <w:t xml:space="preserve">Anexo 1. </w:t>
      </w:r>
      <w:r>
        <w:rPr>
          <w:rFonts w:ascii="Arial" w:cs="Arial" w:hAnsi="Arial"/>
          <w:b/>
          <w:sz w:val="24"/>
          <w:szCs w:val="24"/>
        </w:rPr>
        <w:t>Cuestionario para recolección de datos</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425"/>
        <w:gridCol w:w="425"/>
        <w:gridCol w:w="425"/>
        <w:gridCol w:w="427"/>
        <w:gridCol w:w="426"/>
        <w:gridCol w:w="277"/>
        <w:gridCol w:w="149"/>
        <w:gridCol w:w="425"/>
        <w:gridCol w:w="427"/>
        <w:gridCol w:w="133"/>
        <w:gridCol w:w="293"/>
        <w:gridCol w:w="567"/>
        <w:gridCol w:w="569"/>
      </w:tblGrid>
      <w:tr>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Variables sociodemográficas</w:t>
            </w:r>
          </w:p>
        </w:tc>
      </w:tr>
      <w:tr>
        <w:tblPrEx/>
        <w:trPr/>
        <w:tc>
          <w:tcPr>
            <w:tcW w:w="5943" w:type="dxa"/>
            <w:gridSpan w:val="7"/>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 xml:space="preserve">Nombre                                                         </w:t>
            </w:r>
          </w:p>
        </w:tc>
        <w:tc>
          <w:tcPr>
            <w:tcW w:w="1134" w:type="dxa"/>
            <w:gridSpan w:val="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Edad</w:t>
            </w:r>
          </w:p>
        </w:tc>
        <w:tc>
          <w:tcPr>
            <w:tcW w:w="1429" w:type="dxa"/>
            <w:gridSpan w:val="3"/>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Género</w:t>
            </w:r>
          </w:p>
        </w:tc>
      </w:tr>
      <w:tr>
        <w:tblPrEx/>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Sala de procedencia: clínica ( ) quirúrgica ( ) Cuerpo de guardia () otros hospitales ()</w:t>
            </w:r>
          </w:p>
        </w:tc>
      </w:tr>
      <w:tr>
        <w:tblPrEx/>
        <w:trPr/>
        <w:tc>
          <w:tcPr>
            <w:tcW w:w="8506" w:type="dxa"/>
            <w:gridSpan w:val="14"/>
            <w:tcBorders/>
            <w:shd w:val="clear" w:color="auto" w:fill="auto"/>
            <w:tcFitText w:val="false"/>
          </w:tcPr>
          <w:p>
            <w:pPr>
              <w:pStyle w:val="style179"/>
              <w:numPr>
                <w:ilvl w:val="0"/>
                <w:numId w:val="2"/>
              </w:numPr>
              <w:spacing w:after="0" w:lineRule="auto" w:line="360"/>
              <w:rPr>
                <w:rFonts w:ascii="Arial" w:cs="Arial" w:hAnsi="Arial"/>
                <w:sz w:val="24"/>
                <w:szCs w:val="24"/>
              </w:rPr>
            </w:pPr>
            <w:r>
              <w:rPr>
                <w:rFonts w:ascii="Arial" w:cs="Arial" w:hAnsi="Arial"/>
                <w:sz w:val="24"/>
                <w:szCs w:val="24"/>
              </w:rPr>
              <w:t xml:space="preserve">Alcoholismo  sí (  )  no ( )   Hábito de fumar: sí (  )  no ( )   </w:t>
            </w:r>
          </w:p>
        </w:tc>
      </w:tr>
      <w:tr>
        <w:tblPrEx/>
        <w:trPr/>
        <w:tc>
          <w:tcPr>
            <w:tcW w:w="8506" w:type="dxa"/>
            <w:gridSpan w:val="14"/>
            <w:tcBorders/>
            <w:shd w:val="clear" w:color="auto" w:fill="auto"/>
            <w:tcFitText w:val="false"/>
          </w:tcPr>
          <w:p>
            <w:pPr>
              <w:pStyle w:val="style179"/>
              <w:numPr>
                <w:ilvl w:val="0"/>
                <w:numId w:val="2"/>
              </w:numPr>
              <w:spacing w:after="0" w:lineRule="auto" w:line="360"/>
              <w:rPr>
                <w:rFonts w:ascii="Arial" w:cs="Arial" w:hAnsi="Arial"/>
                <w:sz w:val="24"/>
                <w:szCs w:val="24"/>
              </w:rPr>
            </w:pPr>
            <w:r>
              <w:rPr>
                <w:rFonts w:ascii="Arial" w:cs="Arial" w:hAnsi="Arial"/>
                <w:sz w:val="24"/>
                <w:szCs w:val="24"/>
              </w:rPr>
              <w:t>Condiciones vitales al ingreso: TA     TAM    FC    FR     Temperatura</w:t>
            </w:r>
          </w:p>
        </w:tc>
      </w:tr>
      <w:tr>
        <w:tblPrEx/>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 xml:space="preserve">Estancia en días: </w:t>
            </w:r>
          </w:p>
        </w:tc>
      </w:tr>
      <w:tr>
        <w:tblPrEx/>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Estado al egreso vivo:  sí (  )    no  (  )</w:t>
            </w:r>
          </w:p>
        </w:tc>
      </w:tr>
      <w:tr>
        <w:tblPrEx/>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 xml:space="preserve">Disfunción de órganos: </w:t>
            </w:r>
          </w:p>
        </w:tc>
      </w:tr>
      <w:tr>
        <w:tblPrEx/>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Química sanguínea y orina</w:t>
            </w: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Días</w:t>
            </w:r>
          </w:p>
        </w:tc>
        <w:tc>
          <w:tcPr>
            <w:tcW w:w="425" w:type="dxa"/>
            <w:tcBorders>
              <w:right w:val="single" w:sz="4" w:space="0" w:color="auto"/>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1</w:t>
            </w:r>
          </w:p>
        </w:tc>
        <w:tc>
          <w:tcPr>
            <w:tcW w:w="425" w:type="dxa"/>
            <w:tcBorders>
              <w:left w:val="single" w:sz="4" w:space="0" w:color="auto"/>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2</w:t>
            </w:r>
          </w:p>
        </w:tc>
        <w:tc>
          <w:tcPr>
            <w:tcW w:w="425" w:type="dxa"/>
            <w:tcBorders/>
            <w:shd w:val="clear" w:color="auto" w:fill="auto"/>
            <w:tcFitText w:val="false"/>
          </w:tcPr>
          <w:p>
            <w:pPr>
              <w:pStyle w:val="style0"/>
              <w:spacing w:after="0" w:lineRule="auto" w:line="360"/>
              <w:jc w:val="center"/>
              <w:rPr>
                <w:rFonts w:ascii="Arial" w:cs="Arial" w:hAnsi="Arial"/>
                <w:sz w:val="24"/>
                <w:szCs w:val="24"/>
              </w:rPr>
            </w:pPr>
            <w:r>
              <w:rPr>
                <w:rFonts w:ascii="Arial" w:cs="Arial" w:hAnsi="Arial"/>
                <w:sz w:val="24"/>
                <w:szCs w:val="24"/>
              </w:rPr>
              <w:t>3</w:t>
            </w: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4</w:t>
            </w: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5</w:t>
            </w: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6</w:t>
            </w: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7</w:t>
            </w: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8</w:t>
            </w: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9</w:t>
            </w: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10</w:t>
            </w: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11</w:t>
            </w: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pH</w:t>
            </w:r>
          </w:p>
        </w:tc>
        <w:tc>
          <w:tcPr>
            <w:tcW w:w="425" w:type="dxa"/>
            <w:tcBorders>
              <w:right w:val="single" w:sz="4" w:space="0" w:color="auto"/>
            </w:tcBorders>
            <w:shd w:val="clear" w:color="auto" w:fill="auto"/>
            <w:tcFitText w:val="false"/>
          </w:tcPr>
          <w:p>
            <w:pPr>
              <w:pStyle w:val="style0"/>
              <w:spacing w:after="0" w:lineRule="auto" w:line="360"/>
              <w:jc w:val="center"/>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jc w:val="center"/>
              <w:rPr>
                <w:rFonts w:ascii="Arial" w:cs="Arial" w:hAnsi="Arial"/>
                <w:sz w:val="24"/>
                <w:szCs w:val="24"/>
              </w:rPr>
            </w:pPr>
          </w:p>
        </w:tc>
        <w:tc>
          <w:tcPr>
            <w:tcW w:w="425" w:type="dxa"/>
            <w:tcBorders/>
            <w:shd w:val="clear" w:color="auto" w:fill="auto"/>
            <w:tcFitText w:val="false"/>
          </w:tcPr>
          <w:p>
            <w:pPr>
              <w:pStyle w:val="style0"/>
              <w:spacing w:after="0" w:lineRule="auto" w:line="360"/>
              <w:jc w:val="center"/>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LDH</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Lactato</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Creatinina</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Ácido úrico</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Glucemia</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Proteína C reactiva</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Microalbuminuria</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0"/>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rHeight w:val="623" w:hRule="atLeast"/>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Ionograma</w:t>
            </w:r>
          </w:p>
        </w:tc>
        <w:tc>
          <w:tcPr>
            <w:tcW w:w="425"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p>
            <w:pPr>
              <w:pStyle w:val="style0"/>
              <w:spacing w:after="0" w:lineRule="auto" w:line="360"/>
              <w:rPr>
                <w:rFonts w:ascii="Arial" w:cs="Arial" w:hAnsi="Arial"/>
                <w:sz w:val="24"/>
                <w:szCs w:val="24"/>
              </w:rPr>
            </w:pPr>
          </w:p>
        </w:tc>
        <w:tc>
          <w:tcPr>
            <w:tcW w:w="425"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shd w:val="clear" w:color="auto" w:fill="auto"/>
            <w:tcFitText w:val="false"/>
          </w:tcPr>
          <w:p>
            <w:pPr>
              <w:pStyle w:val="style179"/>
              <w:spacing w:after="0" w:lineRule="auto" w:line="360"/>
              <w:rPr>
                <w:rFonts w:ascii="Arial" w:cs="Arial" w:hAnsi="Arial"/>
                <w:sz w:val="24"/>
                <w:szCs w:val="24"/>
              </w:rPr>
            </w:pPr>
          </w:p>
        </w:tc>
        <w:tc>
          <w:tcPr>
            <w:tcW w:w="42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5"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rHeight w:val="547" w:hRule="atLeast"/>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Comorbilidad</w:t>
            </w:r>
          </w:p>
        </w:tc>
        <w:tc>
          <w:tcPr>
            <w:tcW w:w="4968" w:type="dxa"/>
            <w:gridSpan w:val="13"/>
            <w:tcBorders/>
            <w:shd w:val="clear" w:color="auto" w:fill="auto"/>
            <w:tcFitText w:val="false"/>
          </w:tcPr>
          <w:p>
            <w:pPr>
              <w:pStyle w:val="style0"/>
              <w:spacing w:after="0" w:lineRule="auto" w:line="360"/>
              <w:rPr>
                <w:rFonts w:ascii="Arial" w:cs="Arial" w:hAnsi="Arial"/>
                <w:sz w:val="24"/>
                <w:szCs w:val="24"/>
              </w:rPr>
            </w:pPr>
          </w:p>
        </w:tc>
      </w:tr>
      <w:tr>
        <w:tblPrEx/>
        <w:trPr>
          <w:trHeight w:val="681" w:hRule="atLeast"/>
        </w:trPr>
        <w:tc>
          <w:tcPr>
            <w:tcW w:w="3538"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p>
            <w:pPr>
              <w:pStyle w:val="style0"/>
              <w:spacing w:after="0" w:lineRule="auto" w:line="360"/>
              <w:rPr>
                <w:rFonts w:ascii="Arial" w:cs="Arial" w:hAnsi="Arial"/>
                <w:sz w:val="24"/>
                <w:szCs w:val="24"/>
              </w:rPr>
            </w:pPr>
            <w:r>
              <w:rPr>
                <w:rFonts w:ascii="Arial" w:cs="Arial" w:hAnsi="Arial"/>
                <w:sz w:val="24"/>
                <w:szCs w:val="24"/>
              </w:rPr>
              <w:t>Otras variables</w:t>
            </w:r>
          </w:p>
        </w:tc>
        <w:tc>
          <w:tcPr>
            <w:tcW w:w="850" w:type="dxa"/>
            <w:gridSpan w:val="2"/>
            <w:tcBorders>
              <w:left w:val="single" w:sz="4" w:space="0" w:color="auto"/>
            </w:tcBorders>
            <w:shd w:val="clear" w:color="auto" w:fill="auto"/>
            <w:tcFitText w:val="false"/>
          </w:tcPr>
          <w:p>
            <w:pPr>
              <w:pStyle w:val="style0"/>
              <w:rPr>
                <w:rFonts w:ascii="Arial" w:cs="Arial" w:hAnsi="Arial"/>
                <w:sz w:val="24"/>
                <w:szCs w:val="24"/>
              </w:rPr>
            </w:pPr>
          </w:p>
          <w:p>
            <w:pPr>
              <w:pStyle w:val="style0"/>
              <w:spacing w:after="0" w:lineRule="auto" w:line="360"/>
              <w:rPr>
                <w:rFonts w:ascii="Arial" w:cs="Arial" w:hAnsi="Arial"/>
                <w:sz w:val="24"/>
                <w:szCs w:val="24"/>
              </w:rPr>
            </w:pPr>
          </w:p>
        </w:tc>
        <w:tc>
          <w:tcPr>
            <w:tcW w:w="852" w:type="dxa"/>
            <w:gridSpan w:val="2"/>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852" w:type="dxa"/>
            <w:gridSpan w:val="3"/>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852" w:type="dxa"/>
            <w:gridSpan w:val="2"/>
            <w:tcBorders>
              <w:left w:val="single" w:sz="4" w:space="0" w:color="auto"/>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426" w:type="dxa"/>
            <w:gridSpan w:val="2"/>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7" w:type="dxa"/>
            <w:tcBorders>
              <w:right w:val="single" w:sz="4" w:space="0" w:color="auto"/>
            </w:tcBorders>
            <w:shd w:val="clear" w:color="auto" w:fill="auto"/>
            <w:tcFitText w:val="false"/>
          </w:tcPr>
          <w:p>
            <w:pPr>
              <w:pStyle w:val="style0"/>
              <w:spacing w:after="0" w:lineRule="auto" w:line="360"/>
              <w:rPr>
                <w:rFonts w:ascii="Arial" w:cs="Arial" w:hAnsi="Arial"/>
                <w:sz w:val="24"/>
                <w:szCs w:val="24"/>
              </w:rPr>
            </w:pPr>
          </w:p>
        </w:tc>
        <w:tc>
          <w:tcPr>
            <w:tcW w:w="569" w:type="dxa"/>
            <w:tcBorders>
              <w:left w:val="single" w:sz="4" w:space="0" w:color="auto"/>
            </w:tcBorders>
            <w:shd w:val="clear" w:color="auto" w:fill="auto"/>
            <w:tcFitText w:val="false"/>
          </w:tcPr>
          <w:p>
            <w:pPr>
              <w:pStyle w:val="style0"/>
              <w:spacing w:after="0" w:lineRule="auto" w:line="360"/>
              <w:rPr>
                <w:rFonts w:ascii="Arial" w:cs="Arial" w:hAnsi="Arial"/>
                <w:sz w:val="24"/>
                <w:szCs w:val="24"/>
              </w:rPr>
            </w:pPr>
          </w:p>
        </w:tc>
      </w:tr>
      <w:tr>
        <w:tblPrEx/>
        <w:trPr/>
        <w:tc>
          <w:tcPr>
            <w:tcW w:w="8506" w:type="dxa"/>
            <w:gridSpan w:val="14"/>
            <w:tcBorders/>
            <w:shd w:val="clear" w:color="auto" w:fill="auto"/>
            <w:tcFitText w:val="false"/>
          </w:tcPr>
          <w:p>
            <w:pPr>
              <w:pStyle w:val="style0"/>
              <w:spacing w:after="0" w:lineRule="auto" w:line="360"/>
              <w:rPr>
                <w:rFonts w:ascii="Arial" w:cs="Arial" w:hAnsi="Arial"/>
                <w:sz w:val="24"/>
                <w:szCs w:val="24"/>
              </w:rPr>
            </w:pPr>
            <w:r>
              <w:rPr>
                <w:rFonts w:ascii="Arial" w:cs="Arial" w:hAnsi="Arial"/>
                <w:sz w:val="24"/>
                <w:szCs w:val="24"/>
              </w:rPr>
              <w:t>Peso en Kg ___Talla en metros ____ Circunferencia de cintura en cm ___</w:t>
            </w:r>
          </w:p>
        </w:tc>
      </w:tr>
    </w:tbl>
    <w:p>
      <w:pPr>
        <w:pStyle w:val="style0"/>
        <w:spacing w:after="0" w:lineRule="auto" w:line="360"/>
        <w:rPr>
          <w:rFonts w:ascii="Arial" w:cs="Arial" w:hAnsi="Arial"/>
          <w:b/>
          <w:sz w:val="24"/>
          <w:szCs w:val="24"/>
        </w:rPr>
      </w:pPr>
    </w:p>
    <w:p>
      <w:pPr>
        <w:pStyle w:val="style0"/>
        <w:spacing w:after="0" w:lineRule="auto" w:line="360"/>
        <w:rPr>
          <w:rFonts w:ascii="Arial" w:cs="Arial" w:hAnsi="Arial"/>
          <w:b/>
          <w:sz w:val="24"/>
          <w:szCs w:val="24"/>
        </w:rPr>
      </w:pPr>
    </w:p>
    <w:p>
      <w:pPr>
        <w:pStyle w:val="style0"/>
        <w:spacing w:after="0" w:lineRule="auto" w:line="360"/>
        <w:rPr>
          <w:rFonts w:ascii="Arial" w:cs="Arial" w:hAnsi="Arial"/>
          <w:b/>
          <w:sz w:val="24"/>
          <w:szCs w:val="24"/>
        </w:rPr>
      </w:pPr>
    </w:p>
    <w:p>
      <w:pPr>
        <w:pStyle w:val="style0"/>
        <w:spacing w:after="0" w:lineRule="auto" w:line="360"/>
        <w:rPr>
          <w:rFonts w:ascii="Arial" w:cs="Arial" w:hAnsi="Arial"/>
          <w:b/>
          <w:sz w:val="24"/>
          <w:szCs w:val="24"/>
        </w:rPr>
      </w:pPr>
    </w:p>
    <w:p>
      <w:pPr>
        <w:pStyle w:val="style0"/>
        <w:spacing w:after="0" w:lineRule="auto" w:line="360"/>
        <w:rPr>
          <w:rFonts w:ascii="Arial" w:cs="Arial" w:hAnsi="Arial"/>
          <w:b/>
          <w:sz w:val="24"/>
          <w:szCs w:val="24"/>
        </w:rPr>
      </w:pPr>
    </w:p>
    <w:p>
      <w:pPr>
        <w:pStyle w:val="style0"/>
        <w:spacing w:after="0" w:lineRule="auto" w:line="360"/>
        <w:rPr>
          <w:rFonts w:ascii="Arial" w:cs="Arial" w:hAnsi="Arial"/>
          <w:b/>
          <w:sz w:val="24"/>
          <w:szCs w:val="24"/>
        </w:rPr>
      </w:pPr>
    </w:p>
    <w:p>
      <w:pPr>
        <w:pStyle w:val="style4097"/>
        <w:spacing w:lineRule="auto" w:line="480"/>
        <w:rPr>
          <w:rFonts w:ascii="Arial" w:cs="Arial" w:hAnsi="Arial"/>
          <w:bCs/>
          <w:lang w:eastAsia="es-VE"/>
        </w:rPr>
      </w:pPr>
      <w:r>
        <w:rPr>
          <w:rFonts w:ascii="Arial" w:cs="Arial" w:hAnsi="Arial"/>
          <w:bCs/>
          <w:lang w:eastAsia="es-VE"/>
        </w:rPr>
        <w:t>Anexo 2 Acta de consentimiento informado del paciente.</w:t>
      </w:r>
    </w:p>
    <w:p>
      <w:pPr>
        <w:pStyle w:val="style4097"/>
        <w:spacing w:lineRule="auto" w:line="480"/>
        <w:ind w:right="-568"/>
        <w:rPr>
          <w:rFonts w:ascii="Arial" w:cs="Arial" w:hAnsi="Arial"/>
          <w:lang w:eastAsia="es-VE"/>
        </w:rPr>
      </w:pPr>
      <w:r>
        <w:rPr>
          <w:rFonts w:ascii="Arial" w:cs="Arial" w:hAnsi="Arial"/>
          <w:b/>
          <w:bCs/>
          <w:lang w:eastAsia="es-VE"/>
        </w:rPr>
        <w:t>ACTA DE CONSENTIMIENTO INFORMADO DEL PACIENTE O AL FAMILIAR.</w:t>
      </w:r>
    </w:p>
    <w:p>
      <w:pPr>
        <w:pStyle w:val="style0"/>
        <w:autoSpaceDE w:val="false"/>
        <w:autoSpaceDN w:val="false"/>
        <w:adjustRightInd w:val="false"/>
        <w:spacing w:lineRule="auto" w:line="276"/>
        <w:jc w:val="center"/>
        <w:rPr>
          <w:rFonts w:ascii="Arial" w:cs="Arial" w:hAnsi="Arial"/>
          <w:color w:val="000000"/>
          <w:sz w:val="24"/>
          <w:szCs w:val="24"/>
          <w:lang w:eastAsia="es-VE"/>
        </w:rPr>
      </w:pPr>
      <w:r>
        <w:rPr>
          <w:rFonts w:ascii="Arial" w:cs="Arial" w:hAnsi="Arial"/>
          <w:color w:val="000000"/>
          <w:sz w:val="24"/>
          <w:szCs w:val="24"/>
          <w:lang w:eastAsia="es-VE"/>
        </w:rPr>
        <w:t>Hospital Provincial General “Carlos Manuel de Céspedes”.</w:t>
      </w:r>
    </w:p>
    <w:p>
      <w:pPr>
        <w:pStyle w:val="style0"/>
        <w:autoSpaceDE w:val="false"/>
        <w:autoSpaceDN w:val="false"/>
        <w:adjustRightInd w:val="false"/>
        <w:spacing w:lineRule="auto" w:line="276"/>
        <w:jc w:val="center"/>
        <w:rPr>
          <w:rFonts w:ascii="Arial" w:cs="Arial" w:hAnsi="Arial"/>
          <w:color w:val="000000"/>
          <w:sz w:val="24"/>
          <w:szCs w:val="24"/>
          <w:lang w:eastAsia="es-VE"/>
        </w:rPr>
      </w:pPr>
      <w:r>
        <w:rPr>
          <w:rFonts w:ascii="Arial" w:cs="Arial" w:hAnsi="Arial"/>
          <w:color w:val="000000"/>
          <w:sz w:val="24"/>
          <w:szCs w:val="24"/>
          <w:lang w:eastAsia="es-VE"/>
        </w:rPr>
        <w:t>Servicio de Medicina Interna.</w:t>
      </w:r>
    </w:p>
    <w:p>
      <w:pPr>
        <w:pStyle w:val="style0"/>
        <w:autoSpaceDE w:val="false"/>
        <w:autoSpaceDN w:val="false"/>
        <w:adjustRightInd w:val="false"/>
        <w:spacing w:lineRule="auto" w:line="480"/>
        <w:jc w:val="both"/>
        <w:rPr>
          <w:rFonts w:ascii="Arial" w:cs="Arial" w:hAnsi="Arial"/>
          <w:color w:val="000000"/>
          <w:sz w:val="24"/>
          <w:szCs w:val="24"/>
          <w:lang w:eastAsia="es-VE"/>
        </w:rPr>
      </w:pPr>
      <w:r>
        <w:rPr>
          <w:rFonts w:ascii="Arial" w:cs="Arial" w:hAnsi="Arial"/>
          <w:color w:val="000000"/>
          <w:sz w:val="24"/>
          <w:szCs w:val="24"/>
          <w:lang w:eastAsia="es-VE"/>
        </w:rPr>
        <w:t xml:space="preserve">Fecha: ___/_____/_____.                                  </w:t>
      </w:r>
      <w:r>
        <w:rPr>
          <w:rFonts w:ascii="Arial" w:cs="Arial" w:hAnsi="Arial"/>
          <w:color w:val="000000"/>
          <w:sz w:val="24"/>
          <w:szCs w:val="24"/>
          <w:lang w:eastAsia="es-VE"/>
        </w:rPr>
        <w:t xml:space="preserve">          HC: ______________</w:t>
      </w:r>
      <w:r>
        <w:rPr>
          <w:rFonts w:ascii="Arial" w:cs="Arial" w:hAnsi="Arial"/>
          <w:color w:val="000000"/>
          <w:sz w:val="24"/>
          <w:szCs w:val="24"/>
          <w:lang w:eastAsia="es-VE"/>
        </w:rPr>
        <w:t xml:space="preserve">. </w:t>
      </w:r>
    </w:p>
    <w:p>
      <w:pPr>
        <w:pStyle w:val="style0"/>
        <w:autoSpaceDE w:val="false"/>
        <w:autoSpaceDN w:val="false"/>
        <w:adjustRightInd w:val="false"/>
        <w:spacing w:lineRule="auto" w:line="480"/>
        <w:jc w:val="both"/>
        <w:rPr>
          <w:rFonts w:ascii="Arial" w:cs="Arial" w:hAnsi="Arial"/>
          <w:color w:val="000000"/>
          <w:sz w:val="24"/>
          <w:szCs w:val="24"/>
          <w:lang w:eastAsia="es-VE"/>
        </w:rPr>
      </w:pPr>
      <w:r>
        <w:rPr>
          <w:rFonts w:ascii="Arial" w:cs="Arial" w:hAnsi="Arial"/>
          <w:color w:val="000000"/>
          <w:sz w:val="24"/>
          <w:szCs w:val="24"/>
          <w:lang w:eastAsia="es-VE"/>
        </w:rPr>
        <w:t>Yo: ________________________________</w:t>
      </w:r>
      <w:r>
        <w:rPr>
          <w:rFonts w:ascii="Arial" w:cs="Arial" w:hAnsi="Arial"/>
          <w:color w:val="000000"/>
          <w:sz w:val="24"/>
          <w:szCs w:val="24"/>
          <w:lang w:eastAsia="es-VE"/>
        </w:rPr>
        <w:t>______________________</w:t>
      </w:r>
      <w:r>
        <w:rPr>
          <w:rFonts w:ascii="Arial" w:cs="Arial" w:hAnsi="Arial"/>
          <w:color w:val="000000"/>
          <w:sz w:val="24"/>
          <w:szCs w:val="24"/>
          <w:lang w:eastAsia="es-VE"/>
        </w:rPr>
        <w:t xml:space="preserve">. </w:t>
      </w:r>
    </w:p>
    <w:p>
      <w:pPr>
        <w:pStyle w:val="style0"/>
        <w:autoSpaceDE w:val="false"/>
        <w:autoSpaceDN w:val="false"/>
        <w:adjustRightInd w:val="false"/>
        <w:spacing w:lineRule="auto" w:line="480"/>
        <w:jc w:val="both"/>
        <w:rPr>
          <w:rFonts w:ascii="Arial" w:cs="Arial" w:hAnsi="Arial"/>
          <w:color w:val="000000"/>
          <w:sz w:val="24"/>
          <w:szCs w:val="24"/>
          <w:lang w:eastAsia="es-VE"/>
        </w:rPr>
      </w:pPr>
      <w:r>
        <w:rPr>
          <w:rFonts w:ascii="Arial" w:cs="Arial" w:hAnsi="Arial"/>
          <w:color w:val="000000"/>
          <w:sz w:val="24"/>
          <w:szCs w:val="24"/>
          <w:lang w:eastAsia="es-VE"/>
        </w:rPr>
        <w:t>He recibido suficiente información sobre la investigación que se realizará para evaluar el pronóstico de mi enfermedad. Estoy dispuesto (a) a participar en este estudio, responderé con honestidad todas las preguntas que me sean realizadas y acepto los estudios que sobre mi persona practiquen, de esta manera ayudaré a identificar un grupo de factores que de ser tratados mejoraría el estado de mi enfermedad y también contribuir a la prevención de esta dolencia en nuevos pacientes.</w:t>
      </w:r>
    </w:p>
    <w:p>
      <w:pPr>
        <w:pStyle w:val="style4097"/>
        <w:spacing w:lineRule="auto" w:line="480"/>
        <w:jc w:val="both"/>
        <w:rPr>
          <w:rFonts w:ascii="Arial" w:cs="Arial" w:hAnsi="Arial"/>
          <w:lang w:eastAsia="es-VE"/>
        </w:rPr>
      </w:pPr>
      <w:r>
        <w:rPr>
          <w:rFonts w:ascii="Arial" w:cs="Arial" w:hAnsi="Arial"/>
          <w:lang w:eastAsia="es-VE"/>
        </w:rPr>
        <w:t xml:space="preserve">La Dra. </w:t>
      </w:r>
      <w:r>
        <w:rPr>
          <w:rFonts w:ascii="Arial" w:cs="Arial" w:hAnsi="Arial"/>
          <w:b/>
          <w:bCs/>
          <w:i w:val="false"/>
          <w:iCs w:val="false"/>
          <w:highlight w:val="none"/>
          <w:u w:val="single"/>
          <w:lang w:eastAsia="es-VE"/>
        </w:rPr>
        <w:t xml:space="preserve">Liané </w:t>
      </w:r>
      <w:r>
        <w:rPr>
          <w:rFonts w:ascii="Arial" w:cs="Arial" w:hAnsi="Arial"/>
          <w:b/>
          <w:bCs/>
          <w:i w:val="false"/>
          <w:iCs w:val="false"/>
          <w:highlight w:val="none"/>
          <w:u w:val="single"/>
          <w:lang w:eastAsia="es-VE"/>
        </w:rPr>
        <w:t>Aimé Coronado Fuentes</w:t>
      </w:r>
      <w:r>
        <w:rPr>
          <w:rFonts w:ascii="Arial" w:cs="Arial" w:hAnsi="Arial"/>
          <w:b/>
          <w:bCs/>
          <w:i w:val="false"/>
          <w:iCs w:val="false"/>
          <w:highlight w:val="none"/>
          <w:u w:val="single"/>
          <w:lang w:eastAsia="es-VE"/>
        </w:rPr>
        <w:t xml:space="preserve"> </w:t>
      </w:r>
      <w:r>
        <w:rPr>
          <w:rFonts w:ascii="Arial" w:cs="Arial" w:hAnsi="Arial"/>
          <w:lang w:eastAsia="es-VE"/>
        </w:rPr>
        <w:t xml:space="preserve"> me ha explicado que todos mis datos son confidenciales y que mi nombre no será revelado. Comprendo que mi participación en esta actividad es voluntaria y que puedo retirarme por decisión propia cuando lo desee, sin necesidad de expresar los motivos y sin que esto repercuta en mi tratamiento médico. </w:t>
      </w:r>
    </w:p>
    <w:p>
      <w:pPr>
        <w:pStyle w:val="style0"/>
        <w:autoSpaceDE w:val="false"/>
        <w:autoSpaceDN w:val="false"/>
        <w:adjustRightInd w:val="false"/>
        <w:spacing w:lineRule="auto" w:line="480"/>
        <w:jc w:val="both"/>
        <w:rPr>
          <w:rFonts w:ascii="Arial" w:cs="Arial" w:hAnsi="Arial"/>
          <w:color w:val="000000"/>
          <w:sz w:val="24"/>
          <w:szCs w:val="24"/>
          <w:lang w:eastAsia="es-VE"/>
        </w:rPr>
      </w:pPr>
    </w:p>
    <w:p>
      <w:pPr>
        <w:pStyle w:val="style0"/>
        <w:autoSpaceDE w:val="false"/>
        <w:autoSpaceDN w:val="false"/>
        <w:adjustRightInd w:val="false"/>
        <w:spacing w:lineRule="auto" w:line="480"/>
        <w:jc w:val="both"/>
        <w:rPr>
          <w:rFonts w:ascii="Arial" w:cs="Arial" w:hAnsi="Arial"/>
          <w:color w:val="000000"/>
          <w:sz w:val="24"/>
          <w:szCs w:val="24"/>
          <w:lang w:eastAsia="es-VE"/>
        </w:rPr>
      </w:pPr>
    </w:p>
    <w:p>
      <w:pPr>
        <w:pStyle w:val="style0"/>
        <w:autoSpaceDE w:val="false"/>
        <w:autoSpaceDN w:val="false"/>
        <w:adjustRightInd w:val="false"/>
        <w:spacing w:lineRule="auto" w:line="480"/>
        <w:jc w:val="both"/>
        <w:rPr>
          <w:rFonts w:ascii="Arial" w:cs="Arial" w:hAnsi="Arial"/>
          <w:color w:val="000000"/>
          <w:sz w:val="24"/>
          <w:szCs w:val="24"/>
          <w:lang w:eastAsia="es-VE"/>
        </w:rPr>
      </w:pPr>
    </w:p>
    <w:p>
      <w:pPr>
        <w:pStyle w:val="style0"/>
        <w:autoSpaceDE w:val="false"/>
        <w:autoSpaceDN w:val="false"/>
        <w:adjustRightInd w:val="false"/>
        <w:spacing w:lineRule="auto" w:line="480"/>
        <w:jc w:val="both"/>
        <w:rPr>
          <w:rFonts w:ascii="Arial" w:cs="Arial" w:hAnsi="Arial"/>
          <w:color w:val="000000"/>
          <w:sz w:val="24"/>
          <w:szCs w:val="24"/>
          <w:lang w:eastAsia="es-VE"/>
        </w:rPr>
      </w:pPr>
    </w:p>
    <w:p>
      <w:pPr>
        <w:pStyle w:val="style0"/>
        <w:autoSpaceDE w:val="false"/>
        <w:autoSpaceDN w:val="false"/>
        <w:adjustRightInd w:val="false"/>
        <w:spacing w:lineRule="auto" w:line="240"/>
        <w:jc w:val="both"/>
        <w:rPr>
          <w:rFonts w:ascii="Arial" w:cs="Arial" w:hAnsi="Arial"/>
          <w:color w:val="000000"/>
          <w:sz w:val="24"/>
          <w:szCs w:val="24"/>
          <w:lang w:eastAsia="es-VE"/>
        </w:rPr>
      </w:pPr>
      <w:r>
        <w:rPr>
          <w:rFonts w:ascii="Arial" w:cs="Arial" w:hAnsi="Arial"/>
          <w:color w:val="000000"/>
          <w:sz w:val="24"/>
          <w:szCs w:val="24"/>
          <w:lang w:eastAsia="es-VE"/>
        </w:rPr>
        <w:t xml:space="preserve">_________________________                                     ________________________ </w:t>
      </w:r>
    </w:p>
    <w:p>
      <w:pPr>
        <w:pStyle w:val="style4097"/>
        <w:rPr/>
      </w:pPr>
      <w:r>
        <w:rPr>
          <w:rFonts w:ascii="Arial" w:cs="Arial" w:hAnsi="Arial"/>
          <w:lang w:eastAsia="es-VE"/>
        </w:rPr>
        <w:t xml:space="preserve">           Firma del paciente                                          Firma de</w:t>
      </w:r>
      <w:r>
        <w:rPr>
          <w:rFonts w:ascii="Arial" w:cs="Arial" w:hAnsi="Arial"/>
          <w:lang w:eastAsia="es-VE"/>
        </w:rPr>
        <w:t xml:space="preserve"> </w:t>
      </w:r>
      <w:r>
        <w:rPr>
          <w:rFonts w:ascii="Arial" w:cs="Arial" w:hAnsi="Arial"/>
          <w:lang w:eastAsia="es-VE"/>
        </w:rPr>
        <w:t>l</w:t>
      </w:r>
      <w:r>
        <w:rPr>
          <w:rFonts w:ascii="Arial" w:cs="Arial" w:hAnsi="Arial"/>
          <w:lang w:eastAsia="es-VE"/>
        </w:rPr>
        <w:t>a</w:t>
      </w:r>
      <w:r>
        <w:rPr>
          <w:rFonts w:ascii="Arial" w:cs="Arial" w:hAnsi="Arial"/>
          <w:lang w:eastAsia="es-VE"/>
        </w:rPr>
        <w:t xml:space="preserve"> investigador</w:t>
      </w:r>
      <w:r>
        <w:rPr>
          <w:rFonts w:ascii="Arial" w:cs="Arial" w:hAnsi="Arial"/>
          <w:lang w:eastAsia="es-VE"/>
        </w:rPr>
        <w:t>a</w:t>
      </w:r>
      <w:r>
        <w:rPr>
          <w:rFonts w:ascii="Arial" w:cs="Arial" w:hAnsi="Arial"/>
          <w:lang w:eastAsia="es-VE"/>
        </w:rPr>
        <w:t xml:space="preserve"> </w:t>
      </w:r>
    </w:p>
    <w:sectPr>
      <w:footerReference w:type="default" r:id="rId6"/>
      <w:footerReference w:type="first" r:id="rId7"/>
      <w:pgSz w:w="11906" w:h="16838" w:orient="portrait"/>
      <w:pgMar w:top="1417" w:right="1701" w:bottom="1417" w:left="1701" w:header="708" w:footer="708" w:gutter="0"/>
      <w:pgNumType w:start="1"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Verdana">
    <w:altName w:val="Verdana"/>
    <w:panose1 w:val="020b0604030000040204"/>
    <w:charset w:val="00"/>
    <w:family w:val="swiss"/>
    <w:pitch w:val="variable"/>
    <w:sig w:usb0="A10006FF" w:usb1="4000205B" w:usb2="0000001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Monotype Corsiva">
    <w:altName w:val="Monotype Corsiva"/>
    <w:panose1 w:val="03010101010000010101"/>
    <w:charset w:val="00"/>
    <w:family w:val="script"/>
    <w:pitch w:val="variable"/>
    <w:sig w:usb0="00000287" w:usb1="00000000" w:usb2="00000000" w:usb3="00000000" w:csb0="0000009F" w:csb1="00000000"/>
  </w:font>
  <w:font w:name="Monotype Corsiva,Italic">
    <w:altName w:val="Monotype Corsiva,Italic"/>
    <w:panose1 w:val="00000000000000000000"/>
    <w:charset w:val="00"/>
    <w:family w:val="swiss"/>
    <w:pitch w:val="default"/>
    <w:sig w:usb0="00000003" w:usb1="00000000" w:usb2="00000000" w:usb3="00000000" w:csb0="00000001" w:csb1="00000000"/>
  </w:font>
  <w:font w:name="TimesNewRoman">
    <w:altName w:val="MS Gothic"/>
    <w:panose1 w:val="00000000000000000000"/>
    <w:charset w:val="80"/>
    <w:family w:val="auto"/>
    <w:pitch w:val="default"/>
    <w:sig w:usb0="00000001" w:usb1="08070000" w:usb2="00000010" w:usb3="00000000" w:csb0="00020000" w:csb1="00000000"/>
  </w:font>
  <w:font w:name="TimesNewRoman,Bold">
    <w:altName w:val="MS Gothic"/>
    <w:panose1 w:val="00000000000000000000"/>
    <w:charset w:val="80"/>
    <w:family w:val="auto"/>
    <w:pitch w:val="default"/>
    <w:sig w:usb0="00000003" w:usb1="08070000" w:usb2="00000010" w:usb3="00000000" w:csb0="00020001" w:csb1="00000000"/>
  </w:font>
  <w:font w:name="Cambria Math">
    <w:altName w:val="Cambria Math"/>
    <w:panose1 w:val="02040503050000030204"/>
    <w:charset w:val="00"/>
    <w:family w:val="roman"/>
    <w:pitch w:val="variable"/>
    <w:sig w:usb0="E00002FF" w:usb1="420024FF" w:usb2="00000000"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PAGE   \* MERGEFORMAT</w:instrText>
    </w:r>
    <w:r>
      <w:rPr/>
      <w:fldChar w:fldCharType="separate"/>
    </w:r>
    <w:r>
      <w:rPr>
        <w:noProof/>
        <w:lang w:val="es-ES"/>
      </w:rPr>
      <w:t>0</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PAGE   \* MERGEFORMAT</w:instrText>
    </w:r>
    <w:r>
      <w:rPr/>
      <w:fldChar w:fldCharType="separate"/>
    </w:r>
    <w:r>
      <w:rPr>
        <w:noProof/>
        <w:lang w:val="es-ES"/>
      </w:rPr>
      <w:t>38</w:t>
    </w:r>
    <w:r>
      <w:rPr/>
      <w:fldChar w:fldCharType="end"/>
    </w:r>
  </w:p>
  <w:p>
    <w:pPr>
      <w:pStyle w:val="style32"/>
      <w:jc w:val="center"/>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PAGE   \* MERGEFORMAT</w:instrText>
    </w:r>
    <w:r>
      <w:rPr/>
      <w:fldChar w:fldCharType="separate"/>
    </w:r>
    <w:r>
      <w:rPr>
        <w:noProof/>
        <w:lang w:val="es-ES"/>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88A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multilevel"/>
    <w:tmpl w:val="085838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hybridMultilevel"/>
    <w:tmpl w:val="7F6276C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CC22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AD2E000"/>
    <w:lvl w:ilvl="0" w:tplc="4FEA157E">
      <w:start w:val="1"/>
      <w:numFmt w:val="decimal"/>
      <w:lvlText w:val="%1."/>
      <w:lvlJc w:val="left"/>
      <w:pPr>
        <w:ind w:left="720" w:hanging="360"/>
      </w:pPr>
      <w:rPr>
        <w:b w:val="false"/>
        <w:i w:val="fals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0000005"/>
    <w:multiLevelType w:val="hybridMultilevel"/>
    <w:tmpl w:val="64CA1B60"/>
    <w:lvl w:ilvl="0" w:tplc="76CE61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0000006"/>
    <w:multiLevelType w:val="hybridMultilevel"/>
    <w:tmpl w:val="50F8D240"/>
    <w:lvl w:ilvl="0" w:tplc="7AC8DEF8">
      <w:start w:val="1"/>
      <w:numFmt w:val="bullet"/>
      <w:lvlText w:val=""/>
      <w:lvlJc w:val="left"/>
      <w:pPr>
        <w:ind w:left="720" w:hanging="360"/>
      </w:pPr>
      <w:rPr>
        <w:rFonts w:ascii="Symbol" w:cs="Arial" w:eastAsia="Times New Roman"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008CF5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94E916E"/>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7"/>
  </w:num>
  <w:num w:numId="8">
    <w:abstractNumId w:val="4"/>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s-ES" w:bidi="ar-SA" w:eastAsia="en-US"/>
      </w:rPr>
    </w:rPrDefault>
    <w:pPrDefault>
      <w:pPr>
        <w:spacing w:after="200" w:lineRule="auto" w:line="276"/>
      </w:pPr>
    </w:pPrDefault>
  </w:docDefaults>
  <w:style w:type="paragraph" w:default="1" w:styleId="style0">
    <w:name w:val="Normal"/>
    <w:next w:val="style0"/>
    <w:qFormat/>
    <w:pPr>
      <w:spacing w:before="0" w:after="160" w:lineRule="auto" w:line="259"/>
      <w:ind w:left="0" w:right="0"/>
    </w:pPr>
    <w:rPr>
      <w:rFonts w:ascii="Calibri" w:cs="Times New Roman" w:eastAsia="Calibri" w:hAnsi="Calibri"/>
      <w:sz w:val="21"/>
      <w:lang w:val="es-ES_tradn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Verdana" w:cs="Verdana" w:eastAsia="Calibri" w:hAnsi="Verdana"/>
      <w:color w:val="000000"/>
      <w:sz w:val="24"/>
      <w:szCs w:val="24"/>
      <w:lang w:eastAsia="es-ES"/>
    </w:rPr>
  </w:style>
  <w:style w:type="paragraph" w:styleId="style179">
    <w:name w:val="List Paragraph"/>
    <w:basedOn w:val="style0"/>
    <w:next w:val="style179"/>
    <w:qFormat/>
    <w:uiPriority w:val="34"/>
    <w:pPr>
      <w:spacing w:after="200" w:lineRule="auto" w:line="276"/>
      <w:ind w:left="720"/>
      <w:contextualSpacing/>
    </w:pPr>
    <w:rPr>
      <w:lang w:val="es-ES"/>
    </w:rPr>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rPr>
      <w:rFonts w:ascii="Calibri" w:cs="Times New Roman" w:eastAsia="Calibri" w:hAnsi="Calibri"/>
      <w:lang w:val="es-ES_tradnl"/>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val="es-ES" w:eastAsia="es-ES"/>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o de globo Car"/>
    <w:basedOn w:val="style65"/>
    <w:next w:val="style4099"/>
    <w:link w:val="style153"/>
    <w:uiPriority w:val="99"/>
    <w:rPr>
      <w:rFonts w:ascii="Tahoma" w:cs="Tahoma" w:eastAsia="Calibri" w:hAnsi="Tahoma"/>
      <w:sz w:val="16"/>
      <w:szCs w:val="16"/>
      <w:lang w:val="es-ES_tradnl"/>
    </w:rPr>
  </w:style>
  <w:style w:type="paragraph" w:styleId="style101">
    <w:name w:val="HTML Preformatted"/>
    <w:basedOn w:val="style0"/>
    <w:next w:val="style101"/>
    <w:link w:val="style4100"/>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val="es-ES" w:eastAsia="es-ES"/>
    </w:rPr>
  </w:style>
  <w:style w:type="character" w:customStyle="1" w:styleId="style4100">
    <w:name w:val="HTML con formato previo Car"/>
    <w:basedOn w:val="style65"/>
    <w:next w:val="style4100"/>
    <w:link w:val="style101"/>
    <w:uiPriority w:val="99"/>
    <w:rPr>
      <w:rFonts w:ascii="Courier New" w:cs="Courier New" w:eastAsia="Times New Roman" w:hAnsi="Courier New"/>
      <w:sz w:val="20"/>
      <w:szCs w:val="20"/>
      <w:lang w:eastAsia="es-ES"/>
    </w:rPr>
  </w:style>
  <w:style w:type="character" w:customStyle="1" w:styleId="style4101">
    <w:name w:val="y2iqfc"/>
    <w:basedOn w:val="style65"/>
    <w:next w:val="style4101"/>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markedcontent"/>
    <w:basedOn w:val="style65"/>
    <w:next w:val="style4102"/>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 w:type="paragraph" w:styleId="style31">
    <w:name w:val="header"/>
    <w:basedOn w:val="style0"/>
    <w:next w:val="style31"/>
    <w:link w:val="style4103"/>
    <w:uiPriority w:val="99"/>
    <w:pPr>
      <w:tabs>
        <w:tab w:val="center" w:leader="none" w:pos="4252"/>
        <w:tab w:val="right" w:leader="none" w:pos="8504"/>
      </w:tabs>
      <w:spacing w:after="0" w:lineRule="auto" w:line="240"/>
    </w:pPr>
    <w:rPr/>
  </w:style>
  <w:style w:type="character" w:customStyle="1" w:styleId="style4103">
    <w:name w:val="Encabezado Car"/>
    <w:basedOn w:val="style65"/>
    <w:next w:val="style4103"/>
    <w:link w:val="style31"/>
    <w:uiPriority w:val="99"/>
    <w:rPr>
      <w:rFonts w:ascii="Calibri" w:cs="Times New Roman" w:eastAsia="Calibri" w:hAnsi="Calibri"/>
      <w:lang w:val="es-ES_tradnl"/>
    </w:rPr>
  </w:style>
  <w:style w:type="character" w:styleId="style87">
    <w:name w:val="Strong"/>
    <w:basedOn w:val="style65"/>
    <w:next w:val="style87"/>
    <w:qFormat/>
    <w:uiPriority w:val="22"/>
    <w:rPr>
      <w:b/>
      <w:bCs/>
    </w:rPr>
  </w:style>
  <w:style w:type="character" w:customStyle="1" w:styleId="style4104">
    <w:name w:val="mixed-citation"/>
    <w:basedOn w:val="style65"/>
    <w:next w:val="style4104"/>
  </w:style>
  <w:style w:type="paragraph" w:customStyle="1" w:styleId="style4105">
    <w:name w:val="&quot;List Paragraph&quot;"/>
    <w:next w:val="style4105"/>
    <w:qFormat/>
    <w:pPr>
      <w:spacing w:before="0" w:after="200" w:lineRule="auto" w:line="276"/>
      <w:ind w:left="0" w:right="0"/>
    </w:pPr>
    <w:rPr>
      <w:rFonts w:ascii="Calibri" w:cs="Times New Roman" w:eastAsia="Calibri" w:hAnsi="Calibri"/>
      <w:sz w:val="21"/>
      <w:lang w:val="es-ES"/>
    </w:rPr>
  </w:style>
  <w:style w:type="paragraph" w:customStyle="1" w:styleId="style4106">
    <w:name w:val="&quot;HTML Preformatted&quot;"/>
    <w:next w:val="style4106"/>
    <w:pPr>
      <w:tabs>
        <w:tab w:val="left" w:leader="none" w:pos="900"/>
        <w:tab w:val="left" w:leader="none" w:pos="1820"/>
        <w:tab w:val="left" w:leader="none" w:pos="2740"/>
        <w:tab w:val="left" w:leader="none" w:pos="3660"/>
        <w:tab w:val="left" w:leader="none" w:pos="4580"/>
        <w:tab w:val="left" w:leader="none" w:pos="5480"/>
        <w:tab w:val="left" w:leader="none" w:pos="6400"/>
        <w:tab w:val="left" w:leader="none" w:pos="7320"/>
        <w:tab w:val="left" w:leader="none" w:pos="8240"/>
        <w:tab w:val="left" w:leader="none" w:pos="9160"/>
        <w:tab w:val="left" w:leader="none" w:pos="10060"/>
        <w:tab w:val="left" w:leader="none" w:pos="10980"/>
        <w:tab w:val="left" w:leader="none" w:pos="11900"/>
        <w:tab w:val="left" w:leader="none" w:pos="12820"/>
        <w:tab w:val="left" w:leader="none" w:pos="13740"/>
        <w:tab w:val="left" w:leader="none" w:pos="14640"/>
      </w:tabs>
      <w:spacing w:before="0" w:after="0" w:lineRule="auto" w:line="240"/>
      <w:ind w:left="0" w:right="0"/>
    </w:pPr>
    <w:rPr>
      <w:rFonts w:ascii="Courier New" w:cs="Courier New" w:eastAsia="Times New Roman" w:hAnsi="Courier New"/>
      <w:sz w:val="20"/>
      <w:szCs w:val="20"/>
      <w:lang w:val="es-ES" w:eastAsia="es-ES"/>
    </w:rPr>
  </w:style>
  <w:style w:type="paragraph" w:customStyle="1" w:styleId="style4107">
    <w:name w:val="&quot;footer&quot;"/>
    <w:next w:val="style4107"/>
    <w:pPr>
      <w:tabs>
        <w:tab w:val="center" w:leader="none" w:pos="4240"/>
        <w:tab w:val="right" w:leader="none" w:pos="8500"/>
      </w:tabs>
      <w:spacing w:before="0" w:after="0" w:lineRule="auto" w:line="240"/>
      <w:ind w:left="0" w:right="0"/>
    </w:pPr>
    <w:rPr>
      <w:rFonts w:ascii="Calibri" w:cs="Times New Roman" w:eastAsia="Calibri" w:hAnsi="Calibri"/>
      <w:sz w:val="21"/>
      <w:lang w:val="es-ES_tradnl"/>
    </w:rPr>
  </w:style>
  <w:style w:type="paragraph" w:customStyle="1" w:styleId="style4108">
    <w:name w:val="&quot;Default&quot;"/>
    <w:next w:val="style4108"/>
    <w:pPr>
      <w:autoSpaceDE w:val="false"/>
      <w:autoSpaceDN w:val="false"/>
      <w:adjustRightInd w:val="false"/>
      <w:spacing w:before="0" w:after="0" w:lineRule="auto" w:line="240"/>
      <w:ind w:left="0" w:right="0"/>
    </w:pPr>
    <w:rPr>
      <w:rFonts w:ascii="Verdana" w:cs="Verdana" w:eastAsia="Calibri" w:hAnsi="Verdana"/>
      <w:color w:val="000000"/>
      <w:sz w:val="24"/>
      <w:szCs w:val="24"/>
      <w:lang w:eastAsia="es-ES"/>
    </w:rPr>
  </w:style>
  <w:style w:type="paragraph" w:customStyle="1" w:styleId="style4109">
    <w:name w:val="&quot;Balloon Text&quot;"/>
    <w:next w:val="style4109"/>
    <w:pPr>
      <w:spacing w:before="0" w:after="0" w:lineRule="auto" w:line="240"/>
      <w:ind w:left="0" w:right="0"/>
    </w:pPr>
    <w:rPr>
      <w:rFonts w:ascii="Tahoma" w:cs="Tahoma" w:eastAsia="Calibri" w:hAnsi="Tahoma"/>
      <w:sz w:val="16"/>
      <w:szCs w:val="16"/>
      <w:lang w:val="es-ES_tradnl"/>
    </w:rPr>
  </w:style>
  <w:style w:type="paragraph" w:customStyle="1" w:styleId="style4110">
    <w:name w:val="&quot;header&quot;"/>
    <w:next w:val="style4110"/>
    <w:pPr>
      <w:tabs>
        <w:tab w:val="center" w:leader="none" w:pos="4240"/>
        <w:tab w:val="right" w:leader="none" w:pos="8500"/>
      </w:tabs>
      <w:spacing w:before="0" w:after="0" w:lineRule="auto" w:line="240"/>
      <w:ind w:left="0" w:right="0"/>
    </w:pPr>
    <w:rPr>
      <w:rFonts w:ascii="Calibri" w:cs="Times New Roman" w:eastAsia="Calibri" w:hAnsi="Calibri"/>
      <w:sz w:val="21"/>
      <w:lang w:val="es-ES_tradnl"/>
    </w:rPr>
  </w:style>
  <w:style w:type="paragraph" w:customStyle="1" w:styleId="style4111">
    <w:name w:val="&quot;Normal (Web)&quot;"/>
    <w:next w:val="style4111"/>
    <w:pPr>
      <w:spacing w:before="100" w:beforeAutospacing="true" w:after="100" w:afterAutospacing="true" w:lineRule="auto" w:line="240"/>
      <w:ind w:left="0" w:right="0"/>
    </w:pPr>
    <w:rPr>
      <w:rFonts w:ascii="Times New Roman" w:cs="Times New Roman" w:eastAsia="Times New Roman" w:hAnsi="Times New Roman"/>
      <w:sz w:val="24"/>
      <w:szCs w:val="24"/>
      <w:lang w:val="es-ES" w:eastAsia="es-E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11098</Words>
  <Characters>62695</Characters>
  <Application>WPS Office</Application>
  <DocSecurity>0</DocSecurity>
  <Paragraphs>1313</Paragraphs>
  <ScaleCrop>false</ScaleCrop>
  <LinksUpToDate>false</LinksUpToDate>
  <CharactersWithSpaces>73702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2023-06-27T17:46:12Z</dcterms:created>
  <dc:creator>Usuario de Windows</dc:creator>
  <lastModifiedBy>SM-A032F</lastModifiedBy>
  <dcterms:modified xsi:type="dcterms:W3CDTF">2023-06-27T17:47:53Z</dcterms:modified>
  <revision>83</revision>
</coreProperties>
</file>