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4097"/>
        <w:rPr/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99.55pt;margin-top:1.1pt;width:142.5pt;height:110.55pt;z-index:6;mso-position-horizontal-relative:text;mso-position-vertical-relative:text;mso-width-percent:0;mso-height-percent:200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  <w:lang w:val="es-ES"/>
                    </w:rPr>
                    <w:drawing>
                      <wp:inline distT="0" distB="0" distL="0" distR="0">
                        <wp:extent cx="1323974" cy="1104195"/>
                        <wp:effectExtent l="0" t="0" r="0" b="1270"/>
                        <wp:docPr id="2049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true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974" cy="1104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gjdgxs" w:colFirst="0" w:colLast="0"/>
      <w:bookmarkEnd w:id="0"/>
    </w:p>
    <w:p>
      <w:pPr>
        <w:pStyle w:val="style0"/>
        <w:rPr/>
      </w:pPr>
      <w:r>
        <w:rPr>
          <w:noProof/>
          <w:lang w:val="es-ES"/>
        </w:rPr>
        <w:pict>
          <v:rect id="1028" filled="f" stroked="f" style="position:absolute;margin-left:-51.45pt;margin-top:209.85pt;width:554.65pt;height:471.6pt;z-index:4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/>
            <v:fill/>
            <v:textbox inset="7.2pt,3.6pt,7.2pt,3.6pt">
              <w:txbxContent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Autores:</w:t>
                  </w:r>
                </w:p>
                <w:p>
                  <w:pPr>
                    <w:pStyle w:val="style0"/>
                    <w:suppressAutoHyphens/>
                    <w:spacing w:before="20" w:after="48" w:afterLines="20"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Otto Sandoval Rojas *</w:t>
                  </w:r>
                </w:p>
                <w:p>
                  <w:pPr>
                    <w:pStyle w:val="style0"/>
                    <w:suppressAutoHyphens/>
                    <w:spacing w:before="20" w:after="48" w:afterLines="20" w:lineRule="auto" w:line="360"/>
                    <w:rPr>
                      <w:rStyle w:val="style85"/>
                      <w:rFonts w:ascii="Verdana" w:eastAsia="Times New Roman" w:hAnsi="Verdana" w:cstheme="minorHAnsi"/>
                      <w:b/>
                      <w:sz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Scarlet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 Velasco Chong 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*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*</w:t>
                  </w:r>
                </w:p>
                <w:p>
                  <w:pPr>
                    <w:pStyle w:val="style0"/>
                    <w:spacing w:after="200" w:lineRule="auto" w:line="360"/>
                    <w:rPr>
                      <w:rFonts w:ascii="Verdana" w:hAnsi="Verdana" w:cstheme="minorHAnsi"/>
                      <w:b/>
                      <w:sz w:val="24"/>
                      <w:lang w:val="fr-FR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Adianez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 García Olea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 **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*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Tutor (a):  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Zeila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 Omar Robert *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***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* 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Estudiante de 3er año de Medicina. Alumno Ayudante de Medicina Interna.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** 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Estudiante de 3er año de Medicina. Alumno Ayudante de 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Cirugía 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Oncol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ógica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.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*** Estudiante de 4to año de Medicina. Alumno Ayudante de Endocrinología.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**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*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* Especialista en I grado 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en Oncología. Cirujana de Cabeza y Cuello. Hospital Docente Conrado Benítez García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</w:p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b/>
                      <w:sz w:val="28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“Año 6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>4</w:t>
                  </w:r>
                  <w:r>
                    <w:rPr>
                      <w:rFonts w:ascii="Arial" w:cs="Arial" w:hAnsi="Arial"/>
                      <w:b/>
                      <w:sz w:val="28"/>
                      <w:szCs w:val="24"/>
                    </w:rPr>
                    <w:t xml:space="preserve"> de la Revolución”</w:t>
                  </w:r>
                </w:p>
                <w:p>
                  <w:pPr>
                    <w:pStyle w:val="style0"/>
                    <w:spacing w:lineRule="auto" w:line="360"/>
                    <w:jc w:val="both"/>
                    <w:rPr>
                      <w:rFonts w:ascii="Arial" w:cs="Arial" w:hAnsi="Arial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spacing w:lineRule="auto" w:line="360"/>
                    <w:jc w:val="both"/>
                    <w:rPr>
                      <w:rFonts w:ascii="Arial" w:cs="Arial" w:hAnsi="Arial"/>
                      <w:sz w:val="24"/>
                      <w:szCs w:val="24"/>
                    </w:rPr>
                  </w:pPr>
                </w:p>
                <w:p>
                  <w:pPr>
                    <w:pStyle w:val="style4097"/>
                    <w:spacing w:lineRule="auto" w:line="258"/>
                    <w:jc w:val="center"/>
                    <w:textDirection w:val="btLr"/>
                    <w:rPr>
                      <w:b/>
                      <w:sz w:val="44"/>
                      <w:lang w:val="es-ES"/>
                    </w:rPr>
                  </w:pPr>
                </w:p>
              </w:txbxContent>
            </v:textbox>
          </v:rect>
        </w:pict>
      </w:r>
      <w:r>
        <w:rPr>
          <w:noProof/>
          <w:lang w:val="es-ES"/>
        </w:rPr>
        <w:pict>
          <v:rect id="1029" filled="f" stroked="f" style="position:absolute;margin-left:-31.05pt;margin-top:115.95pt;width:518.2pt;height:88.1pt;z-index:5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/>
            <v:fill/>
            <v:textbox inset="7.2pt,3.6pt,7.2pt,3.6pt">
              <w:txbxContent>
                <w:p>
                  <w:pPr>
                    <w:pStyle w:val="style0"/>
                    <w:spacing w:lineRule="auto" w:line="360"/>
                    <w:jc w:val="both"/>
                    <w:rPr>
                      <w:rFonts w:ascii="Arial" w:cs="Arial" w:hAnsi="Arial"/>
                      <w:b/>
                      <w:sz w:val="52"/>
                      <w:szCs w:val="24"/>
                    </w:rPr>
                  </w:pPr>
                  <w:r>
                    <w:rPr>
                      <w:rFonts w:ascii="Arial" w:cs="Arial" w:hAnsi="Arial"/>
                      <w:b/>
                      <w:sz w:val="52"/>
                      <w:szCs w:val="24"/>
                    </w:rPr>
                    <w:t xml:space="preserve">Enfermedad de </w:t>
                  </w:r>
                  <w:r>
                    <w:rPr>
                      <w:rFonts w:ascii="Arial" w:cs="Arial" w:hAnsi="Arial"/>
                      <w:b/>
                      <w:sz w:val="52"/>
                      <w:szCs w:val="24"/>
                    </w:rPr>
                    <w:t>Rosai</w:t>
                  </w:r>
                  <w:r>
                    <w:rPr>
                      <w:rFonts w:ascii="Arial" w:cs="Arial" w:hAnsi="Arial"/>
                      <w:b/>
                      <w:sz w:val="52"/>
                      <w:szCs w:val="24"/>
                    </w:rPr>
                    <w:t xml:space="preserve"> Dorfman nodal: a propósito de un caso</w:t>
                  </w:r>
                  <w:r>
                    <w:rPr>
                      <w:rFonts w:ascii="Arial" w:cs="Arial" w:hAnsi="Arial"/>
                      <w:b/>
                      <w:sz w:val="52"/>
                      <w:szCs w:val="24"/>
                    </w:rPr>
                    <w:t>.</w:t>
                  </w:r>
                  <w:r>
                    <w:rPr>
                      <w:rFonts w:ascii="Arial" w:cs="Arial" w:hAnsi="Arial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style4097"/>
                    <w:spacing w:lineRule="auto" w:line="258"/>
                    <w:jc w:val="center"/>
                    <w:textDirection w:val="btLr"/>
                    <w:rPr>
                      <w:rFonts w:ascii="Bernard MT Condensed" w:hAnsi="Bernard MT Condensed"/>
                      <w:sz w:val="72"/>
                      <w:lang w:val="es-ES"/>
                    </w:rPr>
                  </w:pPr>
                </w:p>
              </w:txbxContent>
            </v:textbox>
          </v:rect>
        </w:pict>
      </w:r>
      <w:r>
        <w:rPr>
          <w:noProof/>
          <w:lang w:val="es-ES"/>
        </w:rPr>
        <w:pict>
          <v:rect id="1030" filled="f" stroked="f" style="position:absolute;margin-left:-6.05pt;margin-top:73.5pt;width:453.6pt;height:47.55pt;z-index:3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/>
            <v:fill/>
            <v:textbox inset="7.2pt,3.6pt,7.2pt,3.6pt">
              <w:txbxContent>
                <w:p>
                  <w:pPr>
                    <w:pStyle w:val="style4097"/>
                    <w:spacing w:lineRule="auto" w:line="258"/>
                    <w:jc w:val="center"/>
                    <w:textDirection w:val="btLr"/>
                    <w:rPr>
                      <w:rFonts w:ascii="Bernard MT Condensed" w:hAnsi="Bernard MT Condensed"/>
                      <w:sz w:val="12"/>
                      <w:lang w:val="es-ES"/>
                    </w:rPr>
                  </w:pPr>
                  <w:r>
                    <w:rPr>
                      <w:rFonts w:ascii="Bernard MT Condensed" w:hAnsi="Bernard MT Condensed"/>
                      <w:sz w:val="48"/>
                      <w:lang w:val="es-ES"/>
                    </w:rPr>
                    <w:t>Jornada Científica Estudiantil</w:t>
                  </w:r>
                  <w:r>
                    <w:rPr>
                      <w:rFonts w:ascii="Bernard MT Condensed" w:hAnsi="Bernard MT Condensed"/>
                      <w:sz w:val="48"/>
                      <w:lang w:val="es-E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val="es-ES"/>
        </w:rPr>
        <w:pict>
          <v:rect id="1031" filled="f" stroked="f" style="position:absolute;margin-left:147.35pt;margin-top:1.0pt;width:255.0pt;height:102.0pt;z-index:2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/>
            <v:fill/>
            <v:textbox inset="7.2pt,3.6pt,7.2pt,3.6pt">
              <w:txbxContent>
                <w:p>
                  <w:pPr>
                    <w:pStyle w:val="style179"/>
                    <w:kinsoku w:val="false"/>
                    <w:overflowPunct w:val="false"/>
                    <w:jc w:val="center"/>
                    <w:textAlignment w:val="baseline"/>
                    <w:rPr>
                      <w:rFonts w:ascii="Arial Narrow" w:eastAsia="Times New Roman" w:hAnsi="Arial Narrow"/>
                      <w:i/>
                    </w:rPr>
                  </w:pPr>
                  <w:r>
                    <w:rPr>
                      <w:rFonts w:ascii="Arial Narrow" w:hAnsi="Arial Narrow" w:cstheme="minorBidi"/>
                      <w:i/>
                      <w:color w:val="000000"/>
                      <w:kern w:val="24"/>
                    </w:rPr>
                    <w:t>Universidad de Ciencias Médicas</w:t>
                  </w:r>
                </w:p>
                <w:p>
                  <w:pPr>
                    <w:pStyle w:val="style179"/>
                    <w:kinsoku w:val="false"/>
                    <w:overflowPunct w:val="false"/>
                    <w:jc w:val="center"/>
                    <w:textAlignment w:val="baseline"/>
                    <w:rPr>
                      <w:rFonts w:ascii="Arial Narrow" w:hAnsi="Arial Narrow" w:cstheme="minorBidi"/>
                      <w:i/>
                      <w:color w:val="000000"/>
                      <w:kern w:val="24"/>
                    </w:rPr>
                  </w:pPr>
                  <w:r>
                    <w:rPr>
                      <w:rFonts w:ascii="Arial Narrow" w:hAnsi="Arial Narrow" w:cstheme="minorBidi"/>
                      <w:i/>
                      <w:color w:val="000000"/>
                      <w:kern w:val="24"/>
                    </w:rPr>
                    <w:t>Facultad No.1 de Medicina</w:t>
                  </w:r>
                </w:p>
                <w:p>
                  <w:pPr>
                    <w:pStyle w:val="style179"/>
                    <w:kinsoku w:val="false"/>
                    <w:overflowPunct w:val="false"/>
                    <w:jc w:val="center"/>
                    <w:textAlignment w:val="baseline"/>
                    <w:rPr>
                      <w:rFonts w:ascii="Arial Narrow" w:hAnsi="Arial Narrow" w:cstheme="minorBidi"/>
                      <w:i/>
                      <w:color w:val="000000"/>
                      <w:kern w:val="24"/>
                    </w:rPr>
                  </w:pPr>
                  <w:r>
                    <w:rPr>
                      <w:rFonts w:ascii="Arial Narrow" w:hAnsi="Arial Narrow" w:cstheme="minorBidi"/>
                      <w:i/>
                      <w:color w:val="000000"/>
                      <w:kern w:val="24"/>
                    </w:rPr>
                    <w:t>Santiago de Cuba</w:t>
                  </w:r>
                </w:p>
                <w:p>
                  <w:pPr>
                    <w:pStyle w:val="style4097"/>
                    <w:spacing w:lineRule="auto" w:line="258"/>
                    <w:jc w:val="right"/>
                    <w:textDirection w:val="btLr"/>
                    <w:rPr>
                      <w:lang w:val="es-ES"/>
                    </w:rPr>
                  </w:pPr>
                </w:p>
              </w:txbxContent>
            </v:textbox>
          </v:rect>
        </w:pict>
      </w:r>
      <w:r>
        <w:br w:type="page"/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Resumen</w:t>
      </w:r>
    </w:p>
    <w:p>
      <w:pPr>
        <w:pStyle w:val="style0"/>
        <w:spacing w:lineRule="auto" w:line="360"/>
        <w:jc w:val="both"/>
        <w:rPr>
          <w:color w:val="231f20"/>
        </w:rPr>
      </w:pPr>
      <w:r>
        <w:rPr>
          <w:rFonts w:ascii="Arial" w:cs="Arial" w:hAnsi="Arial"/>
          <w:sz w:val="24"/>
          <w:szCs w:val="24"/>
        </w:rPr>
        <w:t xml:space="preserve">La Enfermedad de </w:t>
      </w:r>
      <w:r>
        <w:rPr>
          <w:rFonts w:ascii="Arial" w:cs="Arial" w:hAnsi="Arial"/>
          <w:sz w:val="24"/>
          <w:szCs w:val="24"/>
        </w:rPr>
        <w:t>Rosai</w:t>
      </w:r>
      <w:r>
        <w:rPr>
          <w:rFonts w:ascii="Arial" w:cs="Arial" w:hAnsi="Arial"/>
          <w:sz w:val="24"/>
          <w:szCs w:val="24"/>
        </w:rPr>
        <w:t xml:space="preserve"> Dorfman es una proliferación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histiocitaria</w:t>
      </w:r>
      <w:r>
        <w:rPr>
          <w:rFonts w:ascii="Arial" w:cs="Arial" w:hAnsi="Arial"/>
          <w:sz w:val="24"/>
          <w:szCs w:val="24"/>
        </w:rPr>
        <w:t>, benigna, que puede simular clínicamente un proceso maligno. 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Inmunohistoquímica muestra CD68 y S100-positivo y CD1- negativo con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emperipolesis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Se presenta el caso de paciente de 33 años con aumento de volumen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 nivel V de Robbins, estudios de imagen muestran imagen tumoral consistente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con paquete de adenomegalias. Se realiza </w:t>
      </w:r>
      <w:r>
        <w:rPr>
          <w:rFonts w:ascii="Arial" w:cs="Arial" w:hAnsi="Arial"/>
          <w:sz w:val="24"/>
          <w:szCs w:val="24"/>
        </w:rPr>
        <w:t>excéresis</w:t>
      </w:r>
      <w:r>
        <w:rPr>
          <w:rFonts w:ascii="Arial" w:cs="Arial" w:hAnsi="Arial"/>
          <w:sz w:val="24"/>
          <w:szCs w:val="24"/>
        </w:rPr>
        <w:t xml:space="preserve"> y biopsia informando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histiocitosis sinusoidal con inmunohistoquímica consistente con la enfermedad.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Presentó una recidiva al año. Se remite a Hematología. Se trató con Prednisolona 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altas dosis logrando disminución tumoral (80%) a los 3 meses</w:t>
      </w:r>
      <w:r>
        <w:rPr>
          <w:rFonts w:ascii="Arial" w:cs="Arial" w:hAnsi="Arial"/>
          <w:sz w:val="24"/>
          <w:szCs w:val="24"/>
        </w:rPr>
        <w:t>; con el objetivo de describir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sus características clínicas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</w:rPr>
        <w:t>Se consideró comunicar este caso debido</w:t>
      </w:r>
      <w:r>
        <w:rPr>
          <w:rFonts w:ascii="Arial" w:cs="Arial" w:hAnsi="Arial"/>
          <w:sz w:val="24"/>
          <w:szCs w:val="24"/>
        </w:rPr>
        <w:t xml:space="preserve"> a que esta </w:t>
      </w:r>
      <w:r>
        <w:rPr>
          <w:rFonts w:ascii="Arial" w:cs="Arial" w:hAnsi="Arial"/>
          <w:sz w:val="24"/>
          <w:szCs w:val="24"/>
        </w:rPr>
        <w:t>enfermedad es extremadamente rara y no tiene un comportamiento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estándar</w:t>
      </w:r>
      <w:r>
        <w:rPr>
          <w:rFonts w:ascii="Arial" w:cs="Arial" w:hAnsi="Arial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Palabras clave: </w:t>
      </w:r>
      <w:r>
        <w:rPr>
          <w:rFonts w:ascii="Arial" w:cs="Arial" w:hAnsi="Arial"/>
          <w:sz w:val="24"/>
          <w:szCs w:val="24"/>
        </w:rPr>
        <w:t xml:space="preserve">Enfermedad de </w:t>
      </w:r>
      <w:r>
        <w:rPr>
          <w:rFonts w:ascii="Arial" w:cs="Arial" w:hAnsi="Arial"/>
          <w:sz w:val="24"/>
          <w:szCs w:val="24"/>
        </w:rPr>
        <w:t>Rosai</w:t>
      </w:r>
      <w:r>
        <w:rPr>
          <w:rFonts w:ascii="Arial" w:cs="Arial" w:hAnsi="Arial"/>
          <w:sz w:val="24"/>
          <w:szCs w:val="24"/>
        </w:rPr>
        <w:t xml:space="preserve"> Dorfman</w:t>
      </w:r>
      <w:r>
        <w:rPr>
          <w:rFonts w:ascii="Arial" w:cs="Arial" w:hAnsi="Arial"/>
          <w:sz w:val="24"/>
          <w:szCs w:val="24"/>
        </w:rPr>
        <w:t>;</w:t>
      </w:r>
      <w:r>
        <w:rPr>
          <w:rFonts w:ascii="Arial" w:cs="Arial" w:hAnsi="Arial"/>
          <w:sz w:val="24"/>
          <w:szCs w:val="24"/>
        </w:rPr>
        <w:t xml:space="preserve"> Histiocitosis sinusoidal</w:t>
      </w:r>
      <w:r>
        <w:rPr>
          <w:rFonts w:ascii="Arial" w:cs="Arial" w:hAnsi="Arial"/>
          <w:sz w:val="24"/>
          <w:szCs w:val="24"/>
        </w:rPr>
        <w:t xml:space="preserve">; </w:t>
      </w:r>
      <w:r>
        <w:rPr>
          <w:rFonts w:ascii="Arial" w:cs="Arial" w:hAnsi="Arial"/>
          <w:sz w:val="24"/>
          <w:szCs w:val="24"/>
        </w:rPr>
        <w:t>emperipolesis</w:t>
      </w:r>
      <w:r>
        <w:rPr>
          <w:rFonts w:ascii="Arial" w:cs="Arial" w:hAnsi="Arial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br w:type="page"/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Introducción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 xml:space="preserve">La histiocitosis sinusal con </w:t>
      </w:r>
      <w:r>
        <w:rPr>
          <w:rFonts w:ascii="Arial" w:cs="Arial" w:hAnsi="Arial"/>
          <w:color w:val="000000"/>
          <w:sz w:val="24"/>
          <w:szCs w:val="24"/>
        </w:rPr>
        <w:t>linfadenopatía</w:t>
      </w:r>
      <w:r>
        <w:rPr>
          <w:rFonts w:ascii="Arial" w:cs="Arial" w:hAnsi="Arial"/>
          <w:color w:val="000000"/>
          <w:sz w:val="24"/>
          <w:szCs w:val="24"/>
        </w:rPr>
        <w:t xml:space="preserve"> masiva, descrita por </w:t>
      </w:r>
      <w:r>
        <w:rPr>
          <w:rFonts w:ascii="Arial" w:cs="Arial" w:hAnsi="Arial"/>
          <w:color w:val="000000"/>
          <w:sz w:val="24"/>
          <w:szCs w:val="24"/>
        </w:rPr>
        <w:t>Rosai</w:t>
      </w:r>
      <w:r>
        <w:rPr>
          <w:rFonts w:ascii="Arial" w:cs="Arial" w:hAnsi="Arial"/>
          <w:color w:val="000000"/>
          <w:sz w:val="24"/>
          <w:szCs w:val="24"/>
        </w:rPr>
        <w:t xml:space="preserve"> y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Dorfman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 xml:space="preserve">(RDD), es una entidad caracterizada por proliferación </w:t>
      </w:r>
      <w:r>
        <w:rPr>
          <w:rFonts w:ascii="Arial" w:cs="Arial" w:hAnsi="Arial"/>
          <w:color w:val="000000"/>
          <w:sz w:val="24"/>
          <w:szCs w:val="24"/>
        </w:rPr>
        <w:t>histiocitaria</w:t>
      </w:r>
      <w:r>
        <w:rPr>
          <w:rFonts w:ascii="Arial" w:cs="Arial" w:hAnsi="Arial"/>
          <w:color w:val="000000"/>
          <w:sz w:val="24"/>
          <w:szCs w:val="24"/>
        </w:rPr>
        <w:t>, de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naturaleza benigna, que, en ocasiones, puede simular clínicamente un proceso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maligno.</w:t>
      </w:r>
      <w:r>
        <w:rPr>
          <w:rFonts w:ascii="Arial" w:cs="Arial" w:hAnsi="Arial"/>
          <w:color w:val="000000"/>
          <w:sz w:val="24"/>
          <w:szCs w:val="24"/>
          <w:vertAlign w:val="superscript"/>
        </w:rPr>
        <w:t>1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>Es producto de la sobreproducción de histiocitos que se acumulan luego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en los ganglios linfáticos. Histológicamente se caracteriza por acumulación de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 xml:space="preserve">histiocitos CD68-positivo, S100-positivo y CD1- negativo con </w:t>
      </w:r>
      <w:r>
        <w:rPr>
          <w:rFonts w:ascii="Arial" w:cs="Arial" w:hAnsi="Arial"/>
          <w:color w:val="000000"/>
          <w:sz w:val="24"/>
          <w:szCs w:val="24"/>
        </w:rPr>
        <w:t>emperipolesis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 xml:space="preserve">(fagocitosis no destructiva de leucocitos y eritrocitos) frecuente. </w:t>
      </w:r>
      <w:r>
        <w:rPr>
          <w:rFonts w:ascii="Arial" w:cs="Arial" w:hAnsi="Arial"/>
          <w:color w:val="000000"/>
          <w:sz w:val="24"/>
          <w:szCs w:val="24"/>
          <w:vertAlign w:val="superscript"/>
        </w:rPr>
        <w:t xml:space="preserve">2, </w:t>
      </w:r>
      <w:r>
        <w:rPr>
          <w:rFonts w:ascii="Arial" w:cs="Arial" w:hAnsi="Arial"/>
          <w:color w:val="000000"/>
          <w:sz w:val="24"/>
          <w:szCs w:val="24"/>
          <w:vertAlign w:val="superscript"/>
        </w:rPr>
        <w:t>3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>La arquitectura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normal del ganglio linfático se ve alterada por la masiva dilatación sinusoidal que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contiene los histiocitos, linfocitos y células plasmáticas. Se presenta mayormente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a nivel cervical, aunque se han descrito otras localizaciones como piel, tejidos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 xml:space="preserve">blandos, sistema nervioso central, estómago, intestinos y mama. </w:t>
      </w:r>
      <w:r>
        <w:rPr>
          <w:rFonts w:ascii="Arial" w:cs="Arial" w:hAnsi="Arial"/>
          <w:color w:val="000000"/>
          <w:sz w:val="24"/>
          <w:szCs w:val="24"/>
          <w:vertAlign w:val="superscript"/>
        </w:rPr>
        <w:t>2,3</w:t>
      </w:r>
      <w:r>
        <w:rPr>
          <w:rFonts w:ascii="Arial" w:cs="Arial" w:hAnsi="Arial"/>
          <w:color w:val="000000"/>
          <w:sz w:val="24"/>
          <w:szCs w:val="24"/>
          <w:vertAlign w:val="superscript"/>
        </w:rPr>
        <w:t xml:space="preserve">, </w:t>
      </w:r>
      <w:r>
        <w:rPr>
          <w:rFonts w:ascii="Arial" w:cs="Arial" w:hAnsi="Arial"/>
          <w:color w:val="000000"/>
          <w:sz w:val="24"/>
          <w:szCs w:val="24"/>
          <w:vertAlign w:val="superscript"/>
        </w:rPr>
        <w:t>4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>Ocurre en todo el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mundo, tanto en hombres como mujeres, y a pesar de ser observado con más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frecuencia en niños menores de 10 años, también puede encontrarse en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 xml:space="preserve">adolescentes y pacientes adultos. </w:t>
      </w:r>
      <w:r>
        <w:rPr>
          <w:rFonts w:ascii="Arial" w:cs="Arial" w:hAnsi="Arial"/>
          <w:color w:val="000000"/>
          <w:sz w:val="24"/>
          <w:szCs w:val="24"/>
          <w:vertAlign w:val="superscript"/>
        </w:rPr>
        <w:t>2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color w:val="000000"/>
          <w:sz w:val="24"/>
          <w:szCs w:val="24"/>
        </w:rPr>
        <w:t>Debido a la rareza de la RDD, el espectro clínico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y los tratamientos no están bien definidos. Se debe tener en cuenta que las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manifestaciones clínicas pueden evolucionar y dejar de responder a los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</w:rPr>
        <w:t>tratamientos, e incluso terminar en la muerte del paciente.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Arial" w:cs="Arial" w:hAnsi="Arial"/>
          <w:color w:val="231f20"/>
          <w:sz w:val="24"/>
          <w:szCs w:val="24"/>
        </w:rPr>
        <w:t xml:space="preserve">Problema científico: </w:t>
      </w:r>
      <w:r>
        <w:rPr>
          <w:rFonts w:ascii="Arial" w:cs="Arial" w:hAnsi="Arial"/>
          <w:color w:val="231f20"/>
          <w:sz w:val="24"/>
          <w:szCs w:val="24"/>
        </w:rPr>
        <w:t>¿</w:t>
      </w:r>
      <w:r>
        <w:rPr>
          <w:rFonts w:ascii="Arial" w:cs="Arial" w:hAnsi="Arial"/>
          <w:color w:val="231f20"/>
          <w:sz w:val="24"/>
          <w:szCs w:val="24"/>
        </w:rPr>
        <w:t>Cuáles son las características clínicas de l</w:t>
      </w:r>
      <w:r>
        <w:rPr>
          <w:rFonts w:ascii="Arial" w:cs="Arial" w:hAnsi="Arial"/>
          <w:color w:val="231f20"/>
          <w:sz w:val="24"/>
          <w:szCs w:val="24"/>
        </w:rPr>
        <w:t xml:space="preserve">a </w:t>
      </w:r>
      <w:r>
        <w:rPr>
          <w:rFonts w:ascii="Arial" w:cs="Arial" w:hAnsi="Arial"/>
          <w:color w:val="231f20"/>
          <w:sz w:val="24"/>
          <w:szCs w:val="24"/>
        </w:rPr>
        <w:t>e</w:t>
      </w:r>
      <w:r>
        <w:rPr>
          <w:rFonts w:ascii="Arial" w:cs="Arial" w:hAnsi="Arial"/>
          <w:color w:val="231f20"/>
          <w:sz w:val="24"/>
          <w:szCs w:val="24"/>
        </w:rPr>
        <w:t xml:space="preserve">nfermedad de </w:t>
      </w:r>
      <w:r>
        <w:rPr>
          <w:rFonts w:ascii="Arial" w:cs="Arial" w:hAnsi="Arial"/>
          <w:color w:val="231f20"/>
          <w:sz w:val="24"/>
          <w:szCs w:val="24"/>
        </w:rPr>
        <w:t>Rosai</w:t>
      </w:r>
      <w:r>
        <w:rPr>
          <w:rFonts w:ascii="Arial" w:cs="Arial" w:hAnsi="Arial"/>
          <w:color w:val="231f20"/>
          <w:sz w:val="24"/>
          <w:szCs w:val="24"/>
        </w:rPr>
        <w:t xml:space="preserve"> Dorfman</w:t>
      </w:r>
      <w:r>
        <w:rPr>
          <w:rFonts w:ascii="Arial" w:cs="Arial" w:hAnsi="Arial"/>
          <w:sz w:val="24"/>
          <w:szCs w:val="24"/>
        </w:rPr>
        <w:t>?</w:t>
      </w:r>
      <w:r>
        <w:rPr>
          <w:rFonts w:ascii="Arial" w:cs="Arial" w:hAnsi="Arial"/>
          <w:color w:val="231f20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231f20"/>
          <w:sz w:val="24"/>
          <w:szCs w:val="24"/>
        </w:rPr>
      </w:pPr>
      <w:r>
        <w:rPr>
          <w:rFonts w:ascii="Arial" w:cs="Arial" w:hAnsi="Arial"/>
          <w:color w:val="231f20"/>
          <w:sz w:val="24"/>
          <w:szCs w:val="24"/>
        </w:rPr>
        <w:t xml:space="preserve">Justificación del problema científico: </w:t>
      </w:r>
      <w:r>
        <w:rPr>
          <w:rFonts w:ascii="Arial" w:cs="Arial" w:hAnsi="Arial"/>
          <w:color w:val="231f20"/>
          <w:sz w:val="24"/>
          <w:szCs w:val="24"/>
        </w:rPr>
        <w:t>El diagnóstico histopatológico requiere de experiencia y técnicas de</w:t>
      </w:r>
      <w:r>
        <w:rPr>
          <w:rFonts w:ascii="Arial" w:cs="Arial" w:hAnsi="Arial"/>
          <w:color w:val="231f20"/>
          <w:sz w:val="24"/>
          <w:szCs w:val="24"/>
        </w:rPr>
        <w:t xml:space="preserve"> </w:t>
      </w:r>
      <w:r>
        <w:rPr>
          <w:rFonts w:ascii="Arial" w:cs="Arial" w:hAnsi="Arial"/>
          <w:color w:val="231f20"/>
          <w:sz w:val="24"/>
          <w:szCs w:val="24"/>
        </w:rPr>
        <w:t>inmunohistoquímica específicas. El tratamiento varía de acuerdo a la presentación</w:t>
      </w:r>
      <w:r>
        <w:rPr>
          <w:rFonts w:ascii="Arial" w:cs="Arial" w:hAnsi="Arial"/>
          <w:color w:val="231f20"/>
          <w:sz w:val="24"/>
          <w:szCs w:val="24"/>
        </w:rPr>
        <w:t xml:space="preserve"> </w:t>
      </w:r>
      <w:r>
        <w:rPr>
          <w:rFonts w:ascii="Arial" w:cs="Arial" w:hAnsi="Arial"/>
          <w:color w:val="231f20"/>
          <w:sz w:val="24"/>
          <w:szCs w:val="24"/>
        </w:rPr>
        <w:t>de la misma siendo la primera línea la cirugía. Puede tener un comportamiento</w:t>
      </w:r>
      <w:r>
        <w:rPr>
          <w:rFonts w:ascii="Arial" w:cs="Arial" w:hAnsi="Arial"/>
          <w:color w:val="231f20"/>
          <w:sz w:val="24"/>
          <w:szCs w:val="24"/>
        </w:rPr>
        <w:t xml:space="preserve"> </w:t>
      </w:r>
      <w:r>
        <w:rPr>
          <w:rFonts w:ascii="Arial" w:cs="Arial" w:hAnsi="Arial"/>
          <w:color w:val="231f20"/>
          <w:sz w:val="24"/>
          <w:szCs w:val="24"/>
        </w:rPr>
        <w:t>agresivo por lo que requieren terapias sistémicas y seguimiento periódico.</w:t>
      </w:r>
      <w:r>
        <w:rPr>
          <w:rFonts w:ascii="Arial" w:cs="Arial" w:hAnsi="Arial"/>
          <w:color w:val="231f20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Arial" w:cs="Arial" w:hAnsi="Arial"/>
          <w:color w:val="231f20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El objetivo de esta investigación es </w:t>
      </w:r>
      <w:r>
        <w:rPr>
          <w:rFonts w:ascii="Arial" w:cs="Arial" w:hAnsi="Arial"/>
          <w:sz w:val="24"/>
          <w:szCs w:val="24"/>
        </w:rPr>
        <w:t xml:space="preserve">describir las características clínicas de </w:t>
      </w:r>
      <w:r>
        <w:rPr>
          <w:rFonts w:ascii="Arial" w:cs="Arial" w:hAnsi="Arial"/>
          <w:color w:val="231f20"/>
          <w:sz w:val="24"/>
          <w:szCs w:val="24"/>
        </w:rPr>
        <w:t>l</w:t>
      </w:r>
      <w:r>
        <w:rPr>
          <w:rFonts w:ascii="Arial" w:cs="Arial" w:hAnsi="Arial"/>
          <w:color w:val="231f20"/>
          <w:sz w:val="24"/>
          <w:szCs w:val="24"/>
        </w:rPr>
        <w:t xml:space="preserve">a </w:t>
      </w:r>
      <w:r>
        <w:rPr>
          <w:rFonts w:ascii="Arial" w:cs="Arial" w:hAnsi="Arial"/>
          <w:color w:val="231f20"/>
          <w:sz w:val="24"/>
          <w:szCs w:val="24"/>
        </w:rPr>
        <w:t>e</w:t>
      </w:r>
      <w:r>
        <w:rPr>
          <w:rFonts w:ascii="Arial" w:cs="Arial" w:hAnsi="Arial"/>
          <w:color w:val="231f20"/>
          <w:sz w:val="24"/>
          <w:szCs w:val="24"/>
        </w:rPr>
        <w:t xml:space="preserve">nfermedad de </w:t>
      </w:r>
      <w:r>
        <w:rPr>
          <w:rFonts w:ascii="Arial" w:cs="Arial" w:hAnsi="Arial"/>
          <w:color w:val="231f20"/>
          <w:sz w:val="24"/>
          <w:szCs w:val="24"/>
        </w:rPr>
        <w:t>Rosai</w:t>
      </w:r>
      <w:r>
        <w:rPr>
          <w:rFonts w:ascii="Arial" w:cs="Arial" w:hAnsi="Arial"/>
          <w:color w:val="231f20"/>
          <w:sz w:val="24"/>
          <w:szCs w:val="24"/>
        </w:rPr>
        <w:t xml:space="preserve"> Dorfman</w:t>
      </w:r>
      <w:r>
        <w:rPr>
          <w:rFonts w:ascii="Arial" w:cs="Arial" w:hAnsi="Arial"/>
          <w:color w:val="231f20"/>
          <w:sz w:val="24"/>
          <w:szCs w:val="24"/>
        </w:rPr>
        <w:t xml:space="preserve">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br w:type="page"/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Presentación del caso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Se presenta el caso de masculino de 33 años, color de piel blanco, con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antecedentes personales de haber padecido de mononucleosis infecciosa y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meningoencefalitis viral aguda durante la infancia, antecedentes familiares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Hipertensión Arterial (HTA) de primera línea, y siendo trabajador de un astillero por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más de 10 años.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Acude a consulta en 2020 por presentar aumento de volumen en fosa clavicular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derecha, no dolorosa, de tres meses de evolución progresiva. El paciente acude con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este cuadro a la Consulta de Cabeza y Cuello del Hospital Oncológico Conrado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Benítez donde se realiza inmediatamente examen físico.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Datos Relevantes al Examen Físico: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Vías Aéreas y Digestivas Superiores (VADS): Hipertrofia de amígdala derecha.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Cuello: Tumor en fosa supraclavicular derecha que guarda relación con el Nivel V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Robbins, de aproximadamente 6 cm, de consistencia </w:t>
      </w:r>
      <w:r>
        <w:rPr>
          <w:rFonts w:ascii="Arial" w:cs="Arial" w:hAnsi="Arial"/>
          <w:sz w:val="24"/>
          <w:szCs w:val="24"/>
        </w:rPr>
        <w:t>duroelástica</w:t>
      </w:r>
      <w:r>
        <w:rPr>
          <w:rFonts w:ascii="Arial" w:cs="Arial" w:hAnsi="Arial"/>
          <w:sz w:val="24"/>
          <w:szCs w:val="24"/>
        </w:rPr>
        <w:t>, movible, no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doloroso, </w:t>
      </w:r>
      <w:r>
        <w:rPr>
          <w:rFonts w:ascii="Arial" w:cs="Arial" w:hAnsi="Arial"/>
          <w:sz w:val="24"/>
          <w:szCs w:val="24"/>
        </w:rPr>
        <w:t>polilobulado</w:t>
      </w:r>
      <w:r>
        <w:rPr>
          <w:rFonts w:ascii="Arial" w:cs="Arial" w:hAnsi="Arial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Hemoquímica</w:t>
      </w:r>
      <w:r>
        <w:rPr>
          <w:rFonts w:ascii="Arial" w:cs="Arial" w:hAnsi="Arial"/>
          <w:b/>
          <w:sz w:val="24"/>
          <w:szCs w:val="24"/>
        </w:rPr>
        <w:t xml:space="preserve"> y estudios de imagen: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Hemograma Completo: Normal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Eritrosedimentación: normal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Serología VDRL: No reactiva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VIH: Negativo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Tomografía axial computarizada (TAC) contrastada de cabeza, cuello, tórax,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abdomen y pelvis: Imagen hiperdensa de 65 UH en fosa supraclavicular derecha,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mal definida, consistente con paquete de adenomegalias. Que mide en su conjunto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62x43 mm (</w:t>
      </w:r>
      <w:r>
        <w:rPr>
          <w:rFonts w:ascii="Arial" w:cs="Arial" w:hAnsi="Arial"/>
          <w:sz w:val="24"/>
          <w:szCs w:val="24"/>
        </w:rPr>
        <w:t>Fig</w:t>
      </w:r>
      <w:r>
        <w:rPr>
          <w:rFonts w:ascii="Arial" w:cs="Arial" w:hAnsi="Arial"/>
          <w:sz w:val="24"/>
          <w:szCs w:val="24"/>
        </w:rPr>
        <w:t xml:space="preserve"> 1.)</w:t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Se toma muestra de tejido: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Punción por aspiración con aguja fina (PAAF) de la adenopatía cervical: Negativo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células neoplásicas. Hiperplasia linfoide.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Biopsia por ponche de Amígdala derecha: Hiperplasia linfoide.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Con este resultado y descartando que el tumor cervical estuviese en relación con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una lesión primaria relacionada con VADS y sí con un proceso </w:t>
      </w:r>
      <w:r>
        <w:rPr>
          <w:rFonts w:ascii="Arial" w:cs="Arial" w:hAnsi="Arial"/>
          <w:sz w:val="24"/>
          <w:szCs w:val="24"/>
        </w:rPr>
        <w:t>linfoproliferativo</w:t>
      </w:r>
      <w:r>
        <w:rPr>
          <w:rFonts w:ascii="Arial" w:cs="Arial" w:hAnsi="Arial"/>
          <w:sz w:val="24"/>
          <w:szCs w:val="24"/>
        </w:rPr>
        <w:t>, se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decide realizar Biopsia </w:t>
      </w:r>
      <w:r>
        <w:rPr>
          <w:rFonts w:ascii="Arial" w:cs="Arial" w:hAnsi="Arial"/>
          <w:sz w:val="24"/>
          <w:szCs w:val="24"/>
        </w:rPr>
        <w:t>escisional</w:t>
      </w:r>
      <w:r>
        <w:rPr>
          <w:rFonts w:ascii="Arial" w:cs="Arial" w:hAnsi="Arial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Biopsia </w:t>
      </w:r>
      <w:r>
        <w:rPr>
          <w:rFonts w:ascii="Arial" w:cs="Arial" w:hAnsi="Arial"/>
          <w:sz w:val="24"/>
          <w:szCs w:val="24"/>
        </w:rPr>
        <w:t>escicional</w:t>
      </w:r>
      <w:r>
        <w:rPr>
          <w:rFonts w:ascii="Arial" w:cs="Arial" w:hAnsi="Arial"/>
          <w:sz w:val="24"/>
          <w:szCs w:val="24"/>
        </w:rPr>
        <w:t>: se disecan 18 ganglios, el mayor midiendo 1 cm con hiperplasia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linfoide/histiocitosis sinusoidal.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Con este resultado el médico de cabecera lo interpreta como un proceso benigno y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da de alta al paciente.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 2021, aproximadamente un año después del diagnóstico previo el paciente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regresa a la consulta con un aumento de volumen de iguales características a nivel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de cicatriz quirúrgica de procedimiento previo, pero esta vez de difícil resección por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estar en íntimo contacto con la pleura. Se realiza biopsia </w:t>
      </w:r>
      <w:r>
        <w:rPr>
          <w:rFonts w:ascii="Arial" w:cs="Arial" w:hAnsi="Arial"/>
          <w:sz w:val="24"/>
          <w:szCs w:val="24"/>
        </w:rPr>
        <w:t>incisional</w:t>
      </w:r>
      <w:r>
        <w:rPr>
          <w:rFonts w:ascii="Arial" w:cs="Arial" w:hAnsi="Arial"/>
          <w:sz w:val="24"/>
          <w:szCs w:val="24"/>
        </w:rPr>
        <w:t xml:space="preserve"> que informó el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mismo diagnóstico, pero esta vez se realiza Inmunohistoquímica que informa CD68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positivo y S100 positivo.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Diagnóstico definitivo: Enfermedad de </w:t>
      </w:r>
      <w:r>
        <w:rPr>
          <w:rFonts w:ascii="Arial" w:cs="Arial" w:hAnsi="Arial"/>
          <w:sz w:val="24"/>
          <w:szCs w:val="24"/>
        </w:rPr>
        <w:t>Rosai</w:t>
      </w:r>
      <w:r>
        <w:rPr>
          <w:rFonts w:ascii="Arial" w:cs="Arial" w:hAnsi="Arial"/>
          <w:sz w:val="24"/>
          <w:szCs w:val="24"/>
        </w:rPr>
        <w:t xml:space="preserve"> Dorfman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Paciente que es remitido a Servicio de Hematología donde se comienza tratamiento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con Prednisolona a altas dosis mostrándose una disminución tumoral a los 3 meses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de más de un 80 %.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br w:type="page"/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Discusión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Es un trastorno, proliferativo </w:t>
      </w:r>
      <w:r>
        <w:rPr>
          <w:rFonts w:ascii="Arial" w:cs="Arial" w:hAnsi="Arial"/>
          <w:sz w:val="24"/>
          <w:szCs w:val="24"/>
        </w:rPr>
        <w:t>histiocitario</w:t>
      </w:r>
      <w:r>
        <w:rPr>
          <w:rFonts w:ascii="Arial" w:cs="Arial" w:hAnsi="Arial"/>
          <w:sz w:val="24"/>
          <w:szCs w:val="24"/>
        </w:rPr>
        <w:t>, raro, idiopático, no neoplásico. También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se conoce como histiocitosis sinusal con </w:t>
      </w:r>
      <w:r>
        <w:rPr>
          <w:rFonts w:ascii="Arial" w:cs="Arial" w:hAnsi="Arial"/>
          <w:sz w:val="24"/>
          <w:szCs w:val="24"/>
        </w:rPr>
        <w:t>linfadenopatía</w:t>
      </w:r>
      <w:r>
        <w:rPr>
          <w:rFonts w:ascii="Arial" w:cs="Arial" w:hAnsi="Arial"/>
          <w:sz w:val="24"/>
          <w:szCs w:val="24"/>
        </w:rPr>
        <w:t xml:space="preserve"> masiva. </w:t>
      </w:r>
      <w:r>
        <w:rPr>
          <w:rFonts w:ascii="Arial" w:cs="Arial" w:hAnsi="Arial"/>
          <w:sz w:val="24"/>
          <w:szCs w:val="24"/>
          <w:vertAlign w:val="superscript"/>
        </w:rPr>
        <w:t>5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Fue</w:t>
      </w:r>
      <w:r>
        <w:rPr>
          <w:rFonts w:ascii="Arial" w:cs="Arial" w:hAnsi="Arial"/>
          <w:sz w:val="24"/>
          <w:szCs w:val="24"/>
        </w:rPr>
        <w:t xml:space="preserve"> descrita por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Juan </w:t>
      </w:r>
      <w:r>
        <w:rPr>
          <w:rFonts w:ascii="Arial" w:cs="Arial" w:hAnsi="Arial"/>
          <w:sz w:val="24"/>
          <w:szCs w:val="24"/>
        </w:rPr>
        <w:t>Rosai</w:t>
      </w:r>
      <w:r>
        <w:rPr>
          <w:rFonts w:ascii="Arial" w:cs="Arial" w:hAnsi="Arial"/>
          <w:sz w:val="24"/>
          <w:szCs w:val="24"/>
        </w:rPr>
        <w:t xml:space="preserve"> y Ronald F. Dorfman en 1969 a partir de una serie de casos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pacientes con </w:t>
      </w:r>
      <w:r>
        <w:rPr>
          <w:rFonts w:ascii="Arial" w:cs="Arial" w:hAnsi="Arial"/>
          <w:sz w:val="24"/>
          <w:szCs w:val="24"/>
        </w:rPr>
        <w:t>linfoadenopatías</w:t>
      </w:r>
      <w:r>
        <w:rPr>
          <w:rFonts w:ascii="Arial" w:cs="Arial" w:hAnsi="Arial"/>
          <w:sz w:val="24"/>
          <w:szCs w:val="24"/>
        </w:rPr>
        <w:t xml:space="preserve"> masivas en la región cervical. </w:t>
      </w:r>
      <w:r>
        <w:rPr>
          <w:rFonts w:ascii="Arial" w:cs="Arial" w:hAnsi="Arial"/>
          <w:sz w:val="24"/>
          <w:szCs w:val="24"/>
          <w:vertAlign w:val="superscript"/>
        </w:rPr>
        <w:t>6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Esta</w:t>
      </w:r>
      <w:r>
        <w:rPr>
          <w:rFonts w:ascii="Arial" w:cs="Arial" w:hAnsi="Arial"/>
          <w:sz w:val="24"/>
          <w:szCs w:val="24"/>
        </w:rPr>
        <w:t xml:space="preserve"> enfermedad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afecta principalmente a los ganglios linfáticos cervicales, aunque también puede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asociarse a compromiso axilar, inguinal, mediastínico, retroperitoneal, mama, piel,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etc. </w:t>
      </w:r>
      <w:r>
        <w:rPr>
          <w:rFonts w:ascii="Arial" w:cs="Arial" w:hAnsi="Arial"/>
          <w:sz w:val="24"/>
          <w:szCs w:val="24"/>
          <w:vertAlign w:val="superscript"/>
        </w:rPr>
        <w:t>4,6</w:t>
      </w:r>
      <w:r>
        <w:rPr>
          <w:rFonts w:ascii="Arial" w:cs="Arial" w:hAnsi="Arial"/>
          <w:sz w:val="24"/>
          <w:szCs w:val="24"/>
        </w:rPr>
        <w:t xml:space="preserve"> El compromiso </w:t>
      </w:r>
      <w:r>
        <w:rPr>
          <w:rFonts w:ascii="Arial" w:cs="Arial" w:hAnsi="Arial"/>
          <w:sz w:val="24"/>
          <w:szCs w:val="24"/>
        </w:rPr>
        <w:t>extranodal</w:t>
      </w:r>
      <w:r>
        <w:rPr>
          <w:rFonts w:ascii="Arial" w:cs="Arial" w:hAnsi="Arial"/>
          <w:sz w:val="24"/>
          <w:szCs w:val="24"/>
        </w:rPr>
        <w:t xml:space="preserve"> se describe en el 43% de los casos, siendo la piel,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los tejidos blandos, las vías respiratorias superiores, los huesos, los ojos y el tejido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retroorbital</w:t>
      </w:r>
      <w:r>
        <w:rPr>
          <w:rFonts w:ascii="Arial" w:cs="Arial" w:hAnsi="Arial"/>
          <w:sz w:val="24"/>
          <w:szCs w:val="24"/>
        </w:rPr>
        <w:t xml:space="preserve"> los sitios más frecuentemente comprometidos. El compromiso de cabeza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y cuello ocurre en hasta el 75% de los casos. </w:t>
      </w:r>
      <w:r>
        <w:rPr>
          <w:rFonts w:ascii="Arial" w:cs="Arial" w:hAnsi="Arial"/>
          <w:sz w:val="24"/>
          <w:szCs w:val="24"/>
          <w:vertAlign w:val="superscript"/>
        </w:rPr>
        <w:t>7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De manera general ocurre en las primeras dos décadas de la vida, en niños, así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como en adultos jóvenes (edad media 20,6años). </w:t>
      </w:r>
      <w:r>
        <w:rPr>
          <w:rFonts w:ascii="Arial" w:cs="Arial" w:hAnsi="Arial"/>
          <w:sz w:val="24"/>
          <w:szCs w:val="24"/>
          <w:vertAlign w:val="superscript"/>
        </w:rPr>
        <w:t>6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Sin</w:t>
      </w:r>
      <w:r>
        <w:rPr>
          <w:rFonts w:ascii="Arial" w:cs="Arial" w:hAnsi="Arial"/>
          <w:sz w:val="24"/>
          <w:szCs w:val="24"/>
        </w:rPr>
        <w:t xml:space="preserve"> embargo, se comunican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casos de pacientes mayores cada vez más frecuentemente. Es el caso de nuestro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paciente.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Investigaciones</w:t>
      </w:r>
      <w:r>
        <w:rPr>
          <w:rFonts w:ascii="Arial" w:cs="Arial" w:hAnsi="Arial"/>
          <w:sz w:val="24"/>
          <w:szCs w:val="24"/>
          <w:vertAlign w:val="superscript"/>
        </w:rPr>
        <w:t>6,7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exponen que h</w:t>
      </w:r>
      <w:r>
        <w:rPr>
          <w:rFonts w:ascii="Arial" w:cs="Arial" w:hAnsi="Arial"/>
          <w:sz w:val="24"/>
          <w:szCs w:val="24"/>
        </w:rPr>
        <w:t>istológicamente se caracteriza por presentar histiocitos con abundante citoplasma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eosinófilo pálido, de núcleos redondos con un solo nucléolo prominente. Se describe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la presencia de dilatación de los senos con fibrosis capsular y </w:t>
      </w:r>
      <w:r>
        <w:rPr>
          <w:rFonts w:ascii="Arial" w:cs="Arial" w:hAnsi="Arial"/>
          <w:sz w:val="24"/>
          <w:szCs w:val="24"/>
        </w:rPr>
        <w:t>pericapsular</w:t>
      </w:r>
      <w:r>
        <w:rPr>
          <w:rFonts w:ascii="Arial" w:cs="Arial" w:hAnsi="Arial"/>
          <w:sz w:val="24"/>
          <w:szCs w:val="24"/>
        </w:rPr>
        <w:t xml:space="preserve"> en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etapas tempranas, lo que progresa a la pérdida de la arquitectura normal en etapas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avanzadas de la enfermedad.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Barrón V, Peláez C.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vertAlign w:val="superscript"/>
        </w:rPr>
        <w:t>4</w:t>
      </w:r>
      <w:r>
        <w:rPr>
          <w:rFonts w:ascii="Arial" w:cs="Arial" w:hAnsi="Arial"/>
          <w:sz w:val="24"/>
          <w:szCs w:val="24"/>
          <w:vertAlign w:val="superscript"/>
        </w:rPr>
        <w:t xml:space="preserve"> </w:t>
      </w:r>
      <w:r>
        <w:rPr>
          <w:rFonts w:ascii="Arial" w:cs="Arial" w:hAnsi="Arial"/>
          <w:sz w:val="24"/>
          <w:szCs w:val="24"/>
        </w:rPr>
        <w:t>en su reporte de caso plantean que e</w:t>
      </w:r>
      <w:r>
        <w:rPr>
          <w:rFonts w:ascii="Arial" w:cs="Arial" w:hAnsi="Arial"/>
          <w:sz w:val="24"/>
          <w:szCs w:val="24"/>
        </w:rPr>
        <w:t xml:space="preserve">s la </w:t>
      </w:r>
      <w:r>
        <w:rPr>
          <w:rFonts w:ascii="Arial" w:cs="Arial" w:hAnsi="Arial"/>
          <w:sz w:val="24"/>
          <w:szCs w:val="24"/>
        </w:rPr>
        <w:t>emperipolesis</w:t>
      </w:r>
      <w:r>
        <w:rPr>
          <w:rFonts w:ascii="Arial" w:cs="Arial" w:hAnsi="Arial"/>
          <w:sz w:val="24"/>
          <w:szCs w:val="24"/>
        </w:rPr>
        <w:t xml:space="preserve"> o </w:t>
      </w:r>
      <w:r>
        <w:rPr>
          <w:rFonts w:ascii="Arial" w:cs="Arial" w:hAnsi="Arial"/>
          <w:sz w:val="24"/>
          <w:szCs w:val="24"/>
        </w:rPr>
        <w:t>linfofagocitosis</w:t>
      </w:r>
      <w:r>
        <w:rPr>
          <w:rFonts w:ascii="Arial" w:cs="Arial" w:hAnsi="Arial"/>
          <w:sz w:val="24"/>
          <w:szCs w:val="24"/>
        </w:rPr>
        <w:t>, que puede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ser menos evidente en casos </w:t>
      </w:r>
      <w:r>
        <w:rPr>
          <w:rFonts w:ascii="Arial" w:cs="Arial" w:hAnsi="Arial"/>
          <w:sz w:val="24"/>
          <w:szCs w:val="24"/>
        </w:rPr>
        <w:t>extraganglionares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</w:rPr>
        <w:t>Inmunohistoquímicamente</w:t>
      </w:r>
      <w:r>
        <w:rPr>
          <w:rFonts w:ascii="Arial" w:cs="Arial" w:hAnsi="Arial"/>
          <w:sz w:val="24"/>
          <w:szCs w:val="24"/>
        </w:rPr>
        <w:t xml:space="preserve"> se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caracteriza por CD68, S100 positivos y CD1a negativo. (Fig. 2) Es importante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mencionar que la </w:t>
      </w:r>
      <w:r>
        <w:rPr>
          <w:rFonts w:ascii="Arial" w:cs="Arial" w:hAnsi="Arial"/>
          <w:sz w:val="24"/>
          <w:szCs w:val="24"/>
        </w:rPr>
        <w:t>emperipolesis</w:t>
      </w:r>
      <w:r>
        <w:rPr>
          <w:rFonts w:ascii="Arial" w:cs="Arial" w:hAnsi="Arial"/>
          <w:sz w:val="24"/>
          <w:szCs w:val="24"/>
        </w:rPr>
        <w:t xml:space="preserve"> no es exclusiva de la RDD, por lo que se puede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observar en otras enfermedades, tales como linfoma de Hodgkin y no Hodgkin,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enfermedades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mieloproliferativas, síndromes mielodisplásicos, mieloma múltiple,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neuroblastoma y el </w:t>
      </w:r>
      <w:r>
        <w:rPr>
          <w:rFonts w:ascii="Arial" w:cs="Arial" w:hAnsi="Arial"/>
          <w:sz w:val="24"/>
          <w:szCs w:val="24"/>
        </w:rPr>
        <w:t>rabdomiosarcoma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  <w:vertAlign w:val="superscript"/>
        </w:rPr>
        <w:t>6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Hasta</w:t>
      </w:r>
      <w:r>
        <w:rPr>
          <w:rFonts w:ascii="Arial" w:cs="Arial" w:hAnsi="Arial"/>
          <w:sz w:val="24"/>
          <w:szCs w:val="24"/>
        </w:rPr>
        <w:t xml:space="preserve"> el momento no se conoce una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etiología clara, se manejan teorías sobre un posible origen infeccioso o genético,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pero sin un resultado definitivo.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La RDD es un trastorno idiopático en pacientes sanos. También se ha descrito,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forma infrecuente, en pacientes inmunocomprometidos con historia de VIH,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Leucemia linfoblástica, linfoma </w:t>
      </w:r>
      <w:r>
        <w:rPr>
          <w:rFonts w:ascii="Arial" w:cs="Arial" w:hAnsi="Arial"/>
          <w:sz w:val="24"/>
          <w:szCs w:val="24"/>
        </w:rPr>
        <w:t>Hodking</w:t>
      </w:r>
      <w:r>
        <w:rPr>
          <w:rFonts w:ascii="Arial" w:cs="Arial" w:hAnsi="Arial"/>
          <w:sz w:val="24"/>
          <w:szCs w:val="24"/>
        </w:rPr>
        <w:t xml:space="preserve"> y no </w:t>
      </w:r>
      <w:r>
        <w:rPr>
          <w:rFonts w:ascii="Arial" w:cs="Arial" w:hAnsi="Arial"/>
          <w:sz w:val="24"/>
          <w:szCs w:val="24"/>
        </w:rPr>
        <w:t>Hodking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Trastonos</w:t>
      </w:r>
      <w:r>
        <w:rPr>
          <w:rFonts w:ascii="Arial" w:cs="Arial" w:hAnsi="Arial"/>
          <w:sz w:val="24"/>
          <w:szCs w:val="24"/>
        </w:rPr>
        <w:t xml:space="preserve"> autoinmunes, etc.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 este paciente q se presenta no se recogen antecedentes de estas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enfermedades, pero sí la presencia de enfermedades virales de relevancia en 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infancia.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Desde el punto de vista clínico, </w:t>
      </w:r>
      <w:r>
        <w:rPr>
          <w:rFonts w:ascii="Arial" w:cs="Arial" w:hAnsi="Arial"/>
          <w:sz w:val="24"/>
          <w:szCs w:val="24"/>
        </w:rPr>
        <w:t>VaiselBuh</w:t>
      </w:r>
      <w:r>
        <w:rPr>
          <w:rFonts w:ascii="Arial" w:cs="Arial" w:hAnsi="Arial"/>
          <w:sz w:val="24"/>
          <w:szCs w:val="24"/>
        </w:rPr>
        <w:t xml:space="preserve"> sr, </w:t>
      </w:r>
      <w:r>
        <w:rPr>
          <w:rFonts w:ascii="Arial" w:cs="Arial" w:hAnsi="Arial"/>
          <w:sz w:val="24"/>
          <w:szCs w:val="24"/>
        </w:rPr>
        <w:t>BryCesoN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yt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>alleN</w:t>
      </w:r>
      <w:r>
        <w:rPr>
          <w:rFonts w:ascii="Arial" w:cs="Arial" w:hAnsi="Arial"/>
          <w:sz w:val="24"/>
          <w:szCs w:val="24"/>
        </w:rPr>
        <w:t xml:space="preserve"> Ce, </w:t>
      </w:r>
      <w:r>
        <w:rPr>
          <w:rFonts w:ascii="Arial" w:cs="Arial" w:hAnsi="Arial"/>
          <w:sz w:val="24"/>
          <w:szCs w:val="24"/>
        </w:rPr>
        <w:t>WhitloCk</w:t>
      </w:r>
      <w:r>
        <w:rPr>
          <w:rFonts w:ascii="Arial" w:cs="Arial" w:hAnsi="Arial"/>
          <w:sz w:val="24"/>
          <w:szCs w:val="24"/>
        </w:rPr>
        <w:t xml:space="preserve"> Ja, </w:t>
      </w:r>
      <w:r>
        <w:rPr>
          <w:rFonts w:ascii="Arial" w:cs="Arial" w:hAnsi="Arial"/>
          <w:sz w:val="24"/>
          <w:szCs w:val="24"/>
        </w:rPr>
        <w:t>aBla</w:t>
      </w:r>
      <w:r>
        <w:rPr>
          <w:rFonts w:ascii="Arial" w:cs="Arial" w:hAnsi="Arial"/>
          <w:sz w:val="24"/>
          <w:szCs w:val="24"/>
        </w:rPr>
        <w:t xml:space="preserve"> o.</w:t>
      </w:r>
      <w:r>
        <w:rPr>
          <w:rFonts w:ascii="Arial" w:cs="Arial" w:hAnsi="Arial"/>
          <w:sz w:val="24"/>
          <w:szCs w:val="24"/>
          <w:vertAlign w:val="superscript"/>
        </w:rPr>
        <w:t>8</w:t>
      </w:r>
      <w:r>
        <w:rPr>
          <w:rFonts w:ascii="Arial" w:cs="Arial" w:hAnsi="Arial"/>
          <w:sz w:val="24"/>
          <w:szCs w:val="24"/>
          <w:vertAlign w:val="superscript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exponen que </w:t>
      </w:r>
      <w:r>
        <w:rPr>
          <w:rFonts w:ascii="Arial" w:cs="Arial" w:hAnsi="Arial"/>
          <w:sz w:val="24"/>
          <w:szCs w:val="24"/>
        </w:rPr>
        <w:t>la forma clásica de la RDD se manifiesta por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linfoadenopatías</w:t>
      </w:r>
      <w:r>
        <w:rPr>
          <w:rFonts w:ascii="Arial" w:cs="Arial" w:hAnsi="Arial"/>
          <w:sz w:val="24"/>
          <w:szCs w:val="24"/>
        </w:rPr>
        <w:t xml:space="preserve"> cervicales masivas bilaterales indoloras, que pueden estar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asociadas 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fiebre y sudoración nocturna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Mientras que </w:t>
      </w:r>
      <w:r>
        <w:rPr>
          <w:rFonts w:ascii="Arial" w:cs="Arial" w:hAnsi="Arial"/>
          <w:sz w:val="24"/>
          <w:szCs w:val="24"/>
        </w:rPr>
        <w:t>Cabello,P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Villarroel,P</w:t>
      </w:r>
      <w:r>
        <w:rPr>
          <w:rFonts w:ascii="Arial" w:cs="Arial" w:hAnsi="Arial"/>
          <w:sz w:val="24"/>
          <w:szCs w:val="24"/>
        </w:rPr>
        <w:t xml:space="preserve">. Poblete, J. </w:t>
      </w:r>
      <w:r>
        <w:rPr>
          <w:rFonts w:ascii="Arial" w:cs="Arial" w:hAnsi="Arial"/>
          <w:sz w:val="24"/>
          <w:szCs w:val="24"/>
        </w:rPr>
        <w:t>Cabezón,R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</w:rPr>
        <w:t>en su presentación de caso</w:t>
      </w:r>
      <w:r>
        <w:rPr>
          <w:rFonts w:ascii="Arial" w:cs="Arial" w:hAnsi="Arial"/>
          <w:sz w:val="24"/>
          <w:szCs w:val="24"/>
          <w:vertAlign w:val="superscript"/>
        </w:rPr>
        <w:t>6</w:t>
      </w:r>
      <w:r>
        <w:rPr>
          <w:rFonts w:ascii="Arial" w:cs="Arial" w:hAnsi="Arial"/>
          <w:sz w:val="24"/>
          <w:szCs w:val="24"/>
          <w:vertAlign w:val="superscript"/>
        </w:rPr>
        <w:t xml:space="preserve"> </w:t>
      </w:r>
      <w:r>
        <w:rPr>
          <w:rFonts w:ascii="Arial" w:cs="Arial" w:hAnsi="Arial"/>
          <w:sz w:val="24"/>
          <w:szCs w:val="24"/>
        </w:rPr>
        <w:t>demuestran que o</w:t>
      </w:r>
      <w:r>
        <w:rPr>
          <w:rFonts w:ascii="Arial" w:cs="Arial" w:hAnsi="Arial"/>
          <w:sz w:val="24"/>
          <w:szCs w:val="24"/>
        </w:rPr>
        <w:t>casionalmente, pueden estar presentes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linfadenopatías</w:t>
      </w:r>
      <w:r>
        <w:rPr>
          <w:rFonts w:ascii="Arial" w:cs="Arial" w:hAnsi="Arial"/>
          <w:sz w:val="24"/>
          <w:szCs w:val="24"/>
        </w:rPr>
        <w:t xml:space="preserve"> axilares e inguinales más pequeñas, lesiones cutáneas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maculopapulares no dolorosas y lesiones óseas escleróticas. </w:t>
      </w:r>
      <w:r>
        <w:rPr>
          <w:rFonts w:ascii="Arial" w:cs="Arial" w:hAnsi="Arial"/>
          <w:sz w:val="24"/>
          <w:szCs w:val="24"/>
        </w:rPr>
        <w:t>Estudios</w:t>
      </w:r>
      <w:r>
        <w:rPr>
          <w:rFonts w:ascii="Arial" w:cs="Arial" w:hAnsi="Arial"/>
          <w:sz w:val="24"/>
          <w:szCs w:val="24"/>
          <w:vertAlign w:val="superscript"/>
        </w:rPr>
        <w:t>6,7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concuerdan que e</w:t>
      </w:r>
      <w:r>
        <w:rPr>
          <w:rFonts w:ascii="Arial" w:cs="Arial" w:hAnsi="Arial"/>
          <w:sz w:val="24"/>
          <w:szCs w:val="24"/>
        </w:rPr>
        <w:t>n cabeza y cuello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los sitios </w:t>
      </w:r>
      <w:r>
        <w:rPr>
          <w:rFonts w:ascii="Arial" w:cs="Arial" w:hAnsi="Arial"/>
          <w:sz w:val="24"/>
          <w:szCs w:val="24"/>
        </w:rPr>
        <w:t>extranodales</w:t>
      </w:r>
      <w:r>
        <w:rPr>
          <w:rFonts w:ascii="Arial" w:cs="Arial" w:hAnsi="Arial"/>
          <w:sz w:val="24"/>
          <w:szCs w:val="24"/>
        </w:rPr>
        <w:t xml:space="preserve"> afectados con mayor frecuencia son las VADS, la órbita y las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glándulas salivales. También se ha descrito compromiso del oído externo, medio 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interno, el que puede estar asociado a hipoacusia conductiva o neurosensorial.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ahí que pueda presentarse obstrucción nasal, epistaxis, rinitis, disnea, disfagia,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disfonía y estridor.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 el caso del paciente en cuestión solo presentó un aumento de volumen único 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nivel de fosa supraclavicular izquierda, sin otras adenopatías a otro nivel, tampoco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presentó manifestaciones </w:t>
      </w:r>
      <w:r>
        <w:rPr>
          <w:rFonts w:ascii="Arial" w:cs="Arial" w:hAnsi="Arial"/>
          <w:sz w:val="24"/>
          <w:szCs w:val="24"/>
        </w:rPr>
        <w:t>extranodales</w:t>
      </w:r>
      <w:r>
        <w:rPr>
          <w:rFonts w:ascii="Arial" w:cs="Arial" w:hAnsi="Arial"/>
          <w:sz w:val="24"/>
          <w:szCs w:val="24"/>
        </w:rPr>
        <w:t xml:space="preserve"> en piel, fosas nasales, mediastino, intestino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u otras localizaciones descritas. No se observó ninguna lesión en VADS. Tampoco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estuvo acompañado por síntomas generales como fiebre o signos como diaforesis.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 el estudio de laboratorio se puede encontrar una elevación de la velocidad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eritrosedimentación, una </w:t>
      </w:r>
      <w:r>
        <w:rPr>
          <w:rFonts w:ascii="Arial" w:cs="Arial" w:hAnsi="Arial"/>
          <w:sz w:val="24"/>
          <w:szCs w:val="24"/>
        </w:rPr>
        <w:t>hipergammaglobulinemia</w:t>
      </w:r>
      <w:r>
        <w:rPr>
          <w:rFonts w:ascii="Arial" w:cs="Arial" w:hAnsi="Arial"/>
          <w:sz w:val="24"/>
          <w:szCs w:val="24"/>
        </w:rPr>
        <w:t xml:space="preserve"> con reversión de la relación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albúmina/globulina y leucocitosis. </w:t>
      </w:r>
      <w:r>
        <w:rPr>
          <w:rFonts w:ascii="Arial" w:cs="Arial" w:hAnsi="Arial"/>
          <w:sz w:val="24"/>
          <w:szCs w:val="24"/>
          <w:vertAlign w:val="superscript"/>
        </w:rPr>
        <w:t>3,6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</w:t>
      </w:r>
      <w:r>
        <w:rPr>
          <w:rFonts w:ascii="Arial" w:cs="Arial" w:hAnsi="Arial"/>
          <w:sz w:val="24"/>
          <w:szCs w:val="24"/>
        </w:rPr>
        <w:t xml:space="preserve"> el caso del paciente presentado los estudios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relacionados con la química sanguínea se comportaron en rangos normales.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Los estudios de imagen están indicados en estos casos. En las imágenes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proporcionadas por TAC contrastada se observa homogéneamente </w:t>
      </w:r>
      <w:r>
        <w:rPr>
          <w:rFonts w:ascii="Arial" w:cs="Arial" w:hAnsi="Arial"/>
          <w:sz w:val="24"/>
          <w:szCs w:val="24"/>
        </w:rPr>
        <w:t>isodensas</w:t>
      </w:r>
      <w:r>
        <w:rPr>
          <w:rFonts w:ascii="Arial" w:cs="Arial" w:hAnsi="Arial"/>
          <w:sz w:val="24"/>
          <w:szCs w:val="24"/>
        </w:rPr>
        <w:t xml:space="preserve"> con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respecto al músculo. En ocasiones las adenopatías pueden mostrar </w:t>
      </w:r>
      <w:r>
        <w:rPr>
          <w:rFonts w:ascii="Arial" w:cs="Arial" w:hAnsi="Arial"/>
          <w:sz w:val="24"/>
          <w:szCs w:val="24"/>
        </w:rPr>
        <w:t>hipodensidad</w:t>
      </w:r>
      <w:r>
        <w:rPr>
          <w:rFonts w:ascii="Arial" w:cs="Arial" w:hAnsi="Arial"/>
          <w:sz w:val="24"/>
          <w:szCs w:val="24"/>
        </w:rPr>
        <w:t xml:space="preserve"> 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hipointensidad</w:t>
      </w:r>
      <w:r>
        <w:rPr>
          <w:rFonts w:ascii="Arial" w:cs="Arial" w:hAnsi="Arial"/>
          <w:sz w:val="24"/>
          <w:szCs w:val="24"/>
        </w:rPr>
        <w:t xml:space="preserve"> central(necrosis), especialmente </w:t>
      </w:r>
      <w:r>
        <w:rPr>
          <w:rFonts w:ascii="Arial" w:cs="Arial" w:hAnsi="Arial"/>
          <w:sz w:val="24"/>
          <w:szCs w:val="24"/>
        </w:rPr>
        <w:t>post-tratamiento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  <w:vertAlign w:val="superscript"/>
        </w:rPr>
        <w:t>5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No</w:t>
      </w:r>
      <w:r>
        <w:rPr>
          <w:rFonts w:ascii="Arial" w:cs="Arial" w:hAnsi="Arial"/>
          <w:sz w:val="24"/>
          <w:szCs w:val="24"/>
        </w:rPr>
        <w:t xml:space="preserve"> obstante, los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hallazgos radiológicos en la RDD son extremadamente variados e inespecíficos, así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que el diagnóstico es exclusivamente patológico.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Ciertos estudios </w:t>
      </w:r>
      <w:r>
        <w:rPr>
          <w:rFonts w:ascii="Arial" w:cs="Arial" w:hAnsi="Arial"/>
          <w:sz w:val="24"/>
          <w:szCs w:val="24"/>
          <w:vertAlign w:val="superscript"/>
        </w:rPr>
        <w:t>5,9,10</w:t>
      </w:r>
      <w:r>
        <w:rPr>
          <w:rFonts w:ascii="Arial" w:cs="Arial" w:hAnsi="Arial"/>
          <w:sz w:val="24"/>
          <w:szCs w:val="24"/>
          <w:vertAlign w:val="superscript"/>
        </w:rPr>
        <w:t xml:space="preserve"> </w:t>
      </w:r>
      <w:r>
        <w:rPr>
          <w:rFonts w:ascii="Arial" w:cs="Arial" w:hAnsi="Arial"/>
          <w:sz w:val="24"/>
          <w:szCs w:val="24"/>
        </w:rPr>
        <w:t>consideran que p</w:t>
      </w:r>
      <w:r>
        <w:rPr>
          <w:rFonts w:ascii="Arial" w:cs="Arial" w:hAnsi="Arial"/>
          <w:sz w:val="24"/>
          <w:szCs w:val="24"/>
        </w:rPr>
        <w:t xml:space="preserve">ara la presentación clásica de la enfermedad con </w:t>
      </w:r>
      <w:r>
        <w:rPr>
          <w:rFonts w:ascii="Arial" w:cs="Arial" w:hAnsi="Arial"/>
          <w:sz w:val="24"/>
          <w:szCs w:val="24"/>
        </w:rPr>
        <w:t>linfadenopatía</w:t>
      </w:r>
      <w:r>
        <w:rPr>
          <w:rFonts w:ascii="Arial" w:cs="Arial" w:hAnsi="Arial"/>
          <w:sz w:val="24"/>
          <w:szCs w:val="24"/>
        </w:rPr>
        <w:t xml:space="preserve"> cervical habría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que considerar como </w:t>
      </w:r>
      <w:r>
        <w:rPr>
          <w:rFonts w:ascii="Arial" w:cs="Arial" w:hAnsi="Arial"/>
          <w:sz w:val="24"/>
          <w:szCs w:val="24"/>
        </w:rPr>
        <w:t>dignóstico</w:t>
      </w:r>
      <w:r>
        <w:rPr>
          <w:rFonts w:ascii="Arial" w:cs="Arial" w:hAnsi="Arial"/>
          <w:sz w:val="24"/>
          <w:szCs w:val="24"/>
        </w:rPr>
        <w:t xml:space="preserve"> diferencial los linfomas, </w:t>
      </w:r>
      <w:r>
        <w:rPr>
          <w:rFonts w:ascii="Arial" w:cs="Arial" w:hAnsi="Arial"/>
          <w:sz w:val="24"/>
          <w:szCs w:val="24"/>
        </w:rPr>
        <w:t>la tuberculosis y las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infecciones granulomatosas, metástasis ganglionares de tumores de cabeza y cuello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(sobre todo carcinoma papilar de tiroides y carcinoma escamoso), el sarcoma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Kaposi y 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enfermedad de </w:t>
      </w:r>
      <w:r>
        <w:rPr>
          <w:rFonts w:ascii="Arial" w:cs="Arial" w:hAnsi="Arial"/>
          <w:sz w:val="24"/>
          <w:szCs w:val="24"/>
        </w:rPr>
        <w:t>Castleman</w:t>
      </w:r>
      <w:r>
        <w:rPr>
          <w:rFonts w:ascii="Arial" w:cs="Arial" w:hAnsi="Arial"/>
          <w:sz w:val="24"/>
          <w:szCs w:val="24"/>
        </w:rPr>
        <w:t>. En pacientes de origen asiático, 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enfermedad de Kikuchi-Fujimoto sería otra posibilidad. 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Hernández VSD, Cortés HS, López SF, Aldape BBC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  <w:vertAlign w:val="superscript"/>
        </w:rPr>
        <w:t>11</w:t>
      </w:r>
      <w:r>
        <w:rPr>
          <w:rFonts w:ascii="Arial" w:cs="Arial" w:hAnsi="Arial"/>
          <w:sz w:val="24"/>
          <w:szCs w:val="24"/>
        </w:rPr>
        <w:t>demostraron en su estudio que t</w:t>
      </w:r>
      <w:r>
        <w:rPr>
          <w:rFonts w:ascii="Arial" w:cs="Arial" w:hAnsi="Arial"/>
          <w:sz w:val="24"/>
          <w:szCs w:val="24"/>
        </w:rPr>
        <w:t>ambién se encuentran los xantomas que son CD68 positivos, pero S100 y CD1a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negativos, la enfermedad de </w:t>
      </w:r>
      <w:r>
        <w:rPr>
          <w:rFonts w:ascii="Arial" w:cs="Arial" w:hAnsi="Arial"/>
          <w:sz w:val="24"/>
          <w:szCs w:val="24"/>
        </w:rPr>
        <w:t>Erdheim</w:t>
      </w:r>
      <w:r>
        <w:rPr>
          <w:rFonts w:ascii="Arial" w:cs="Arial" w:hAnsi="Arial"/>
          <w:sz w:val="24"/>
          <w:szCs w:val="24"/>
        </w:rPr>
        <w:t>-Chester que desde el punto de vista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inmunohistoquímico se presenta igual que el xantoma, pero de manera bilateral en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huesos largos, la enfermedad de Gaucher, </w:t>
      </w:r>
      <w:r>
        <w:rPr>
          <w:rFonts w:ascii="Arial" w:cs="Arial" w:hAnsi="Arial"/>
          <w:sz w:val="24"/>
          <w:szCs w:val="24"/>
        </w:rPr>
        <w:t>Histiocitoma</w:t>
      </w:r>
      <w:r>
        <w:rPr>
          <w:rFonts w:ascii="Arial" w:cs="Arial" w:hAnsi="Arial"/>
          <w:sz w:val="24"/>
          <w:szCs w:val="24"/>
        </w:rPr>
        <w:t xml:space="preserve"> fibroso benigno, Fibroma no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osificante, entre otros. 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Goyal</w:t>
      </w:r>
      <w:r>
        <w:rPr>
          <w:rFonts w:ascii="Arial" w:cs="Arial" w:hAnsi="Arial"/>
          <w:sz w:val="24"/>
          <w:szCs w:val="24"/>
        </w:rPr>
        <w:t xml:space="preserve"> G, </w:t>
      </w:r>
      <w:r>
        <w:rPr>
          <w:rFonts w:ascii="Arial" w:cs="Arial" w:hAnsi="Arial"/>
          <w:sz w:val="24"/>
          <w:szCs w:val="24"/>
        </w:rPr>
        <w:t>Ravindran</w:t>
      </w:r>
      <w:r>
        <w:rPr>
          <w:rFonts w:ascii="Arial" w:cs="Arial" w:hAnsi="Arial"/>
          <w:sz w:val="24"/>
          <w:szCs w:val="24"/>
        </w:rPr>
        <w:t xml:space="preserve"> A, Young J, </w:t>
      </w:r>
      <w:r>
        <w:rPr>
          <w:rFonts w:ascii="Arial" w:cs="Arial" w:hAnsi="Arial"/>
          <w:sz w:val="24"/>
          <w:szCs w:val="24"/>
        </w:rPr>
        <w:t>Shah</w:t>
      </w:r>
      <w:r>
        <w:rPr>
          <w:rFonts w:ascii="Arial" w:cs="Arial" w:hAnsi="Arial"/>
          <w:sz w:val="24"/>
          <w:szCs w:val="24"/>
        </w:rPr>
        <w:t xml:space="preserve"> M, Bennani N, </w:t>
      </w:r>
      <w:r>
        <w:rPr>
          <w:rFonts w:ascii="Arial" w:cs="Arial" w:hAnsi="Arial"/>
          <w:sz w:val="24"/>
          <w:szCs w:val="24"/>
        </w:rPr>
        <w:t>Patnaik</w:t>
      </w:r>
      <w:r>
        <w:rPr>
          <w:rFonts w:ascii="Arial" w:cs="Arial" w:hAnsi="Arial"/>
          <w:sz w:val="24"/>
          <w:szCs w:val="24"/>
        </w:rPr>
        <w:t xml:space="preserve"> M. et al. </w:t>
      </w:r>
      <w:r>
        <w:rPr>
          <w:rFonts w:ascii="Arial" w:cs="Arial" w:hAnsi="Arial"/>
          <w:sz w:val="24"/>
          <w:szCs w:val="24"/>
          <w:vertAlign w:val="superscript"/>
        </w:rPr>
        <w:t>3</w:t>
      </w:r>
      <w:r>
        <w:rPr>
          <w:rFonts w:ascii="Arial" w:cs="Arial" w:hAnsi="Arial"/>
          <w:sz w:val="24"/>
          <w:szCs w:val="24"/>
          <w:vertAlign w:val="superscript"/>
        </w:rPr>
        <w:t xml:space="preserve"> </w:t>
      </w:r>
      <w:r>
        <w:rPr>
          <w:rFonts w:ascii="Arial" w:cs="Arial" w:hAnsi="Arial"/>
          <w:sz w:val="24"/>
          <w:szCs w:val="24"/>
        </w:rPr>
        <w:t>afirman que l</w:t>
      </w:r>
      <w:r>
        <w:rPr>
          <w:rFonts w:ascii="Arial" w:cs="Arial" w:hAnsi="Arial"/>
          <w:sz w:val="24"/>
          <w:szCs w:val="24"/>
        </w:rPr>
        <w:t>os estudios histopatológicos definen el diagnóstico en cuestión y a menudo son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interpretados como inflamación crónica no específica, por lo que requieren de una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segunda lectura por parte de un servicio con experiencia en el diagnóstico de esta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enfermedad. En realidad, la dificultad aparece cuando se deben realizar varias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lecturas de la biopsia para llegar a este diagnóstico ya que exige de un centro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experiencia en este sentido por la rareza de la entidad nosológica.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Como se puede observar, en el caso de este paciente no se diagnosticó 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enfermedad de primera intención, por lo que hubo necesidad de aplicar estudios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inmunohistoquímicos para definir el diagnóstico de la misma.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Barrón V, Peláez C.</w:t>
      </w:r>
      <w:r>
        <w:rPr>
          <w:rFonts w:ascii="Arial" w:cs="Arial" w:hAnsi="Arial"/>
          <w:sz w:val="24"/>
          <w:szCs w:val="24"/>
          <w:vertAlign w:val="superscript"/>
        </w:rPr>
        <w:t xml:space="preserve"> </w:t>
      </w:r>
      <w:r>
        <w:rPr>
          <w:rFonts w:ascii="Arial" w:cs="Arial" w:hAnsi="Arial"/>
          <w:sz w:val="24"/>
          <w:szCs w:val="24"/>
          <w:vertAlign w:val="superscript"/>
        </w:rPr>
        <w:t>4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 su reporte de caso alegan que a</w:t>
      </w:r>
      <w:r>
        <w:rPr>
          <w:rFonts w:ascii="Arial" w:cs="Arial" w:hAnsi="Arial"/>
          <w:sz w:val="24"/>
          <w:szCs w:val="24"/>
        </w:rPr>
        <w:t>l ser una enfermedad autolimitada generalmente no requiere tratamiento. Se han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descrito uso de corticoides, quimioterapia, o tratamientos quirúrgicos. En casos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diseminación con afectación multisistémica el pronóstico es desfavorable. Se han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reportado casos agresivos con muerte del paciente. Puede presentarse recidiva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local posterior a una cirugía. Lo cierto es que no existe hasta el momento un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tratamiento específico y definitivo para ella.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Teniendo en cuenta que en este paciente en cuestión se realizó exéresis del tumor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como tratamiento definitivo, pudimos observar que en un año de evolución luego del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tratamiento definitivo hubo una recidiva de la enfermedad por lo que el seguimiento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de estos pacientes luego de tratados debe realizarse durante unos 30 meses como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demuestra el estudio realizado por </w:t>
      </w:r>
      <w:r>
        <w:rPr>
          <w:rFonts w:ascii="Arial" w:cs="Arial" w:hAnsi="Arial"/>
          <w:sz w:val="24"/>
          <w:szCs w:val="24"/>
        </w:rPr>
        <w:t>Gaurav</w:t>
      </w:r>
      <w:r>
        <w:rPr>
          <w:rFonts w:ascii="Arial" w:cs="Arial" w:hAnsi="Arial"/>
          <w:sz w:val="24"/>
          <w:szCs w:val="24"/>
        </w:rPr>
        <w:t xml:space="preserve"> Goya y col. </w:t>
      </w:r>
      <w:r>
        <w:rPr>
          <w:rFonts w:ascii="Arial" w:cs="Arial" w:hAnsi="Arial"/>
          <w:sz w:val="24"/>
          <w:szCs w:val="24"/>
          <w:vertAlign w:val="superscript"/>
        </w:rPr>
        <w:t>3</w:t>
      </w:r>
      <w:r>
        <w:rPr>
          <w:rFonts w:ascii="Arial" w:cs="Arial" w:hAnsi="Arial"/>
          <w:sz w:val="24"/>
          <w:szCs w:val="24"/>
        </w:rPr>
        <w:t xml:space="preserve"> en 64 pacientes con esta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enfermedad diagnosticados entre 1994 y 2017. En este estudio además al 38 % de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los pacientes se le aplicó cirugía con exéresis del tumor, y como segunda línea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corticoesteroides (27%) en el que respondió el 56 % de los pacientes en cuestión.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Además, presentaron una recurrencia del 30% de los casos. Plantean la terapia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sistémica para presentaciones </w:t>
      </w:r>
      <w:r>
        <w:rPr>
          <w:rFonts w:ascii="Arial" w:cs="Arial" w:hAnsi="Arial"/>
          <w:sz w:val="24"/>
          <w:szCs w:val="24"/>
        </w:rPr>
        <w:t>extranodales</w:t>
      </w:r>
      <w:r>
        <w:rPr>
          <w:rFonts w:ascii="Arial" w:cs="Arial" w:hAnsi="Arial"/>
          <w:sz w:val="24"/>
          <w:szCs w:val="24"/>
        </w:rPr>
        <w:t xml:space="preserve"> y además relacionan el comportamiento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agresivo de esta enfermedad con la presentación de la mutación KRAS-K117N.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br w:type="page"/>
      </w:r>
    </w:p>
    <w:p>
      <w:pPr>
        <w:pStyle w:val="style4097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Conclusiones</w:t>
      </w:r>
    </w:p>
    <w:p>
      <w:pPr>
        <w:pStyle w:val="style4097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La enfermedad de </w:t>
      </w:r>
      <w:r>
        <w:rPr>
          <w:rFonts w:ascii="Arial" w:cs="Arial" w:hAnsi="Arial"/>
          <w:sz w:val="24"/>
          <w:szCs w:val="24"/>
        </w:rPr>
        <w:t>Rosai</w:t>
      </w:r>
      <w:r>
        <w:rPr>
          <w:rFonts w:ascii="Arial" w:cs="Arial" w:hAnsi="Arial"/>
          <w:sz w:val="24"/>
          <w:szCs w:val="24"/>
        </w:rPr>
        <w:t xml:space="preserve"> Dorfman es extremadamente rara y no tiene un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comportamiento estándar en cuanto a epidemiología y a cuadro clínico. El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diagnóstico histopatológico no solo requiere de técnicas de inmunohistoquímica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específicas, sino que además necesita de pericia por parte del anatomopatólogo en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su diagnóstico. El tratamiento varía de acuerdo a la presentación de la misma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siendo la primera línea el tratamiento quirúrgico. Puede tener un comportamiento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agresivo por lo que las terapias sistémicas son importantes y el seguimiento debe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ser periódico.</w:t>
      </w:r>
    </w:p>
    <w:p>
      <w:pPr>
        <w:pStyle w:val="style0"/>
        <w:spacing w:lineRule="auto" w:line="36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br w:type="page"/>
      </w:r>
    </w:p>
    <w:p>
      <w:pPr>
        <w:pStyle w:val="style0"/>
        <w:spacing w:lineRule="auto" w:line="360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Referencias bibliográficas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Cavero-</w:t>
      </w:r>
      <w:r>
        <w:rPr>
          <w:rFonts w:ascii="Arial" w:cs="Arial" w:hAnsi="Arial"/>
        </w:rPr>
        <w:t>Guardamino,J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Torres-</w:t>
      </w:r>
      <w:r>
        <w:rPr>
          <w:rFonts w:ascii="Arial" w:cs="Arial" w:hAnsi="Arial"/>
        </w:rPr>
        <w:t>Ríos,T</w:t>
      </w:r>
      <w:r>
        <w:rPr>
          <w:rFonts w:ascii="Arial" w:cs="Arial" w:hAnsi="Arial"/>
        </w:rPr>
        <w:t xml:space="preserve">. Histiocitosis sinusal con </w:t>
      </w:r>
      <w:r>
        <w:rPr>
          <w:rFonts w:ascii="Arial" w:cs="Arial" w:hAnsi="Arial"/>
        </w:rPr>
        <w:t>linfadenopatía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masiva (enfermedad de </w:t>
      </w:r>
      <w:r>
        <w:rPr>
          <w:rFonts w:ascii="Arial" w:cs="Arial" w:hAnsi="Arial"/>
        </w:rPr>
        <w:t>Rosai</w:t>
      </w:r>
      <w:r>
        <w:rPr>
          <w:rFonts w:ascii="Arial" w:cs="Arial" w:hAnsi="Arial"/>
        </w:rPr>
        <w:t xml:space="preserve">-Dorfman) tratada con </w:t>
      </w:r>
      <w:r>
        <w:rPr>
          <w:rFonts w:ascii="Arial" w:cs="Arial" w:hAnsi="Arial"/>
        </w:rPr>
        <w:t>metotrexate</w:t>
      </w:r>
      <w:r>
        <w:rPr>
          <w:rFonts w:ascii="Arial" w:cs="Arial" w:hAnsi="Arial"/>
        </w:rPr>
        <w:t xml:space="preserve">. </w:t>
      </w:r>
      <w:r>
        <w:rPr>
          <w:rFonts w:ascii="Arial" w:cs="Arial" w:hAnsi="Arial"/>
        </w:rPr>
        <w:t>Dermatol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Peru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[Internet] 2018 [</w:t>
      </w:r>
      <w:r>
        <w:rPr>
          <w:rFonts w:ascii="Arial" w:cs="Arial" w:hAnsi="Arial"/>
        </w:rPr>
        <w:t>cited</w:t>
      </w:r>
      <w:r>
        <w:rPr>
          <w:rFonts w:ascii="Arial" w:cs="Arial" w:hAnsi="Arial"/>
        </w:rPr>
        <w:t xml:space="preserve"> 2021 May 16]; 28 (4): 228-231 </w:t>
      </w:r>
      <w:r>
        <w:rPr>
          <w:rFonts w:ascii="Arial" w:cs="Arial" w:hAnsi="Arial"/>
        </w:rPr>
        <w:t>Available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from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http://www.dermatologiaperuana.pe/assets/uploads/revista_Ke8c_v28_n4_05.pdf</w:t>
      </w:r>
    </w:p>
    <w:p>
      <w:pPr>
        <w:pStyle w:val="style179"/>
        <w:numPr>
          <w:ilvl w:val="0"/>
          <w:numId w:val="1"/>
        </w:numPr>
        <w:spacing w:after="200" w:lineRule="auto" w:line="360"/>
        <w:rPr>
          <w:rFonts w:ascii="Arial" w:cs="Arial" w:hAnsi="Arial"/>
        </w:rPr>
      </w:pPr>
      <w:r>
        <w:rPr>
          <w:rFonts w:ascii="Arial" w:cs="Arial" w:hAnsi="Arial"/>
        </w:rPr>
        <w:t>Porras-Moreno A, Valverde-Muñoz K. Patología rara en pediatría: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Enfermedad de </w:t>
      </w:r>
      <w:r>
        <w:rPr>
          <w:rFonts w:ascii="Arial" w:cs="Arial" w:hAnsi="Arial"/>
        </w:rPr>
        <w:t>Rosai</w:t>
      </w:r>
      <w:r>
        <w:rPr>
          <w:rFonts w:ascii="Arial" w:cs="Arial" w:hAnsi="Arial"/>
        </w:rPr>
        <w:t xml:space="preserve"> Dorfman. Acta </w:t>
      </w:r>
      <w:r>
        <w:rPr>
          <w:rFonts w:ascii="Arial" w:cs="Arial" w:hAnsi="Arial"/>
        </w:rPr>
        <w:t>méd</w:t>
      </w:r>
      <w:r>
        <w:rPr>
          <w:rFonts w:ascii="Arial" w:cs="Arial" w:hAnsi="Arial"/>
        </w:rPr>
        <w:t xml:space="preserve">. </w:t>
      </w:r>
      <w:r>
        <w:rPr>
          <w:rFonts w:ascii="Arial" w:cs="Arial" w:hAnsi="Arial"/>
        </w:rPr>
        <w:t>costarric</w:t>
      </w:r>
      <w:r>
        <w:rPr>
          <w:rFonts w:ascii="Arial" w:cs="Arial" w:hAnsi="Arial"/>
        </w:rPr>
        <w:t xml:space="preserve"> [Internet]. 2018 Mar [</w:t>
      </w:r>
      <w:r>
        <w:rPr>
          <w:rFonts w:ascii="Arial" w:cs="Arial" w:hAnsi="Arial"/>
        </w:rPr>
        <w:t>cited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2021 May 16]; 60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(1): 42-44. </w:t>
      </w:r>
      <w:r>
        <w:rPr>
          <w:rFonts w:ascii="Arial" w:cs="Arial" w:hAnsi="Arial"/>
        </w:rPr>
        <w:t>Available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from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</w:t>
      </w:r>
      <w:r>
        <w:rPr/>
        <w:fldChar w:fldCharType="begin"/>
      </w:r>
      <w:r>
        <w:instrText xml:space="preserve"> HYPERLINK "http://www.scielo.sa.cr/scielo.php?script=sci_arttext&amp;pid=S0001-60022018000100042&amp;lng=en" </w:instrText>
      </w:r>
      <w:r>
        <w:rPr/>
        <w:fldChar w:fldCharType="separate"/>
      </w:r>
      <w:r>
        <w:rPr>
          <w:rStyle w:val="style85"/>
          <w:rFonts w:ascii="Arial" w:cs="Arial" w:hAnsi="Arial"/>
        </w:rPr>
        <w:t>http://www.scielo.sa.cr/scielo.php?script=sci_arttext&amp;pid=S0001-60022018000100042&amp;lng=en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Goyal</w:t>
      </w:r>
      <w:r>
        <w:rPr>
          <w:rFonts w:ascii="Arial" w:cs="Arial" w:hAnsi="Arial"/>
        </w:rPr>
        <w:t xml:space="preserve"> G, </w:t>
      </w:r>
      <w:r>
        <w:rPr>
          <w:rFonts w:ascii="Arial" w:cs="Arial" w:hAnsi="Arial"/>
        </w:rPr>
        <w:t>Ravindran</w:t>
      </w:r>
      <w:r>
        <w:rPr>
          <w:rFonts w:ascii="Arial" w:cs="Arial" w:hAnsi="Arial"/>
        </w:rPr>
        <w:t xml:space="preserve"> A, Young J, </w:t>
      </w:r>
      <w:r>
        <w:rPr>
          <w:rFonts w:ascii="Arial" w:cs="Arial" w:hAnsi="Arial"/>
        </w:rPr>
        <w:t>Shah</w:t>
      </w:r>
      <w:r>
        <w:rPr>
          <w:rFonts w:ascii="Arial" w:cs="Arial" w:hAnsi="Arial"/>
        </w:rPr>
        <w:t xml:space="preserve"> M, Bennani N, </w:t>
      </w:r>
      <w:r>
        <w:rPr>
          <w:rFonts w:ascii="Arial" w:cs="Arial" w:hAnsi="Arial"/>
        </w:rPr>
        <w:t>Patnaik</w:t>
      </w:r>
      <w:r>
        <w:rPr>
          <w:rFonts w:ascii="Arial" w:cs="Arial" w:hAnsi="Arial"/>
        </w:rPr>
        <w:t xml:space="preserve"> M. et al.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Clinicopathological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features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</w:rPr>
        <w:t>treatment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approaches</w:t>
      </w:r>
      <w:r>
        <w:rPr>
          <w:rFonts w:ascii="Arial" w:cs="Arial" w:hAnsi="Arial"/>
        </w:rPr>
        <w:t xml:space="preserve">, and </w:t>
      </w:r>
      <w:r>
        <w:rPr>
          <w:rFonts w:ascii="Arial" w:cs="Arial" w:hAnsi="Arial"/>
        </w:rPr>
        <w:t>outcomes</w:t>
      </w:r>
      <w:r>
        <w:rPr>
          <w:rFonts w:ascii="Arial" w:cs="Arial" w:hAnsi="Arial"/>
        </w:rPr>
        <w:t xml:space="preserve"> in </w:t>
      </w:r>
      <w:r>
        <w:rPr>
          <w:rFonts w:ascii="Arial" w:cs="Arial" w:hAnsi="Arial"/>
        </w:rPr>
        <w:t>Rosai</w:t>
      </w:r>
      <w:r>
        <w:rPr>
          <w:rFonts w:ascii="Arial" w:cs="Arial" w:hAnsi="Arial"/>
        </w:rPr>
        <w:t>-Dorfman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disease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haematologica</w:t>
      </w:r>
      <w:r>
        <w:rPr>
          <w:rFonts w:ascii="Arial" w:cs="Arial" w:hAnsi="Arial"/>
        </w:rPr>
        <w:t xml:space="preserve"> [Internet] 2020[</w:t>
      </w:r>
      <w:r>
        <w:rPr>
          <w:rFonts w:ascii="Arial" w:cs="Arial" w:hAnsi="Arial"/>
        </w:rPr>
        <w:t>cited</w:t>
      </w:r>
      <w:r>
        <w:rPr>
          <w:rFonts w:ascii="Arial" w:cs="Arial" w:hAnsi="Arial"/>
        </w:rPr>
        <w:t xml:space="preserve"> 2021 May 16]; 105(2):348-357</w:t>
      </w:r>
      <w:r>
        <w:rPr>
          <w:rFonts w:ascii="Arial" w:cs="Arial" w:hAnsi="Arial"/>
        </w:rPr>
        <w:t xml:space="preserve">. </w:t>
      </w:r>
      <w:r>
        <w:rPr>
          <w:rFonts w:ascii="Arial" w:cs="Arial" w:hAnsi="Arial"/>
        </w:rPr>
        <w:t>Available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from</w:t>
      </w:r>
      <w:r>
        <w:rPr>
          <w:rFonts w:ascii="Arial" w:cs="Arial" w:hAnsi="Arial"/>
        </w:rPr>
        <w:t>: https://doi.org/10.3324/haematol.2019.219626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Barrón V, Peláez C. Enfermedad de </w:t>
      </w:r>
      <w:r>
        <w:rPr>
          <w:rFonts w:ascii="Arial" w:cs="Arial" w:hAnsi="Arial"/>
        </w:rPr>
        <w:t>Rosai</w:t>
      </w:r>
      <w:r>
        <w:rPr>
          <w:rFonts w:ascii="Arial" w:cs="Arial" w:hAnsi="Arial"/>
        </w:rPr>
        <w:t xml:space="preserve"> Dorfman primario de mama: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Reporte de caso </w:t>
      </w:r>
      <w:r>
        <w:rPr>
          <w:rFonts w:ascii="Arial" w:cs="Arial" w:hAnsi="Arial"/>
        </w:rPr>
        <w:t>Rev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SCientifica</w:t>
      </w:r>
      <w:r>
        <w:rPr>
          <w:rFonts w:ascii="Arial" w:cs="Arial" w:hAnsi="Arial"/>
        </w:rPr>
        <w:t xml:space="preserve"> 2017; 15(1): 24-26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Calvo C, Sánchez A, Gil A. Hallazgos radiológicos en la enfermedad de </w:t>
      </w:r>
      <w:r>
        <w:rPr>
          <w:rFonts w:ascii="Arial" w:cs="Arial" w:hAnsi="Arial"/>
        </w:rPr>
        <w:t>Rosai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Dorfman. SERAM [Internet]. 22 nov.2018. [</w:t>
      </w:r>
      <w:r>
        <w:rPr>
          <w:rFonts w:ascii="Arial" w:cs="Arial" w:hAnsi="Arial"/>
        </w:rPr>
        <w:t>cited</w:t>
      </w:r>
      <w:r>
        <w:rPr>
          <w:rFonts w:ascii="Arial" w:cs="Arial" w:hAnsi="Arial"/>
        </w:rPr>
        <w:t xml:space="preserve"> 2021 May 16]; </w:t>
      </w:r>
      <w:r>
        <w:rPr>
          <w:rFonts w:ascii="Arial" w:cs="Arial" w:hAnsi="Arial"/>
        </w:rPr>
        <w:t>Available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from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https://piper.espacio-seram.com/index.php/seram/article/view/1379.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Cabello,P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Villarroel,P</w:t>
      </w:r>
      <w:r>
        <w:rPr>
          <w:rFonts w:ascii="Arial" w:cs="Arial" w:hAnsi="Arial"/>
        </w:rPr>
        <w:t xml:space="preserve">. Poblete, J. </w:t>
      </w:r>
      <w:r>
        <w:rPr>
          <w:rFonts w:ascii="Arial" w:cs="Arial" w:hAnsi="Arial"/>
        </w:rPr>
        <w:t>Cabezón,R</w:t>
      </w:r>
      <w:r>
        <w:rPr>
          <w:rFonts w:ascii="Arial" w:cs="Arial" w:hAnsi="Arial"/>
        </w:rPr>
        <w:t xml:space="preserve">. Enfermedad de </w:t>
      </w:r>
      <w:r>
        <w:rPr>
          <w:rFonts w:ascii="Arial" w:cs="Arial" w:hAnsi="Arial"/>
        </w:rPr>
        <w:t>Rosai</w:t>
      </w:r>
      <w:r>
        <w:rPr>
          <w:rFonts w:ascii="Arial" w:cs="Arial" w:hAnsi="Arial"/>
        </w:rPr>
        <w:t>-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Dorfman con compromiso laríngeo: a propósito de un caso. Rev. </w:t>
      </w:r>
      <w:r>
        <w:rPr>
          <w:rFonts w:ascii="Arial" w:cs="Arial" w:hAnsi="Arial"/>
        </w:rPr>
        <w:t>Otorrinolaringol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Cir. Cabeza Cuello 2018; 78: 426-430.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RastoGi</w:t>
      </w:r>
      <w:r>
        <w:rPr>
          <w:rFonts w:ascii="Arial" w:cs="Arial" w:hAnsi="Arial"/>
        </w:rPr>
        <w:t xml:space="preserve"> V, </w:t>
      </w:r>
      <w:r>
        <w:rPr>
          <w:rFonts w:ascii="Arial" w:cs="Arial" w:hAnsi="Arial"/>
        </w:rPr>
        <w:t>sharMa</w:t>
      </w:r>
      <w:r>
        <w:rPr>
          <w:rFonts w:ascii="Arial" w:cs="Arial" w:hAnsi="Arial"/>
        </w:rPr>
        <w:t xml:space="preserve"> r, </w:t>
      </w:r>
      <w:r>
        <w:rPr>
          <w:rFonts w:ascii="Arial" w:cs="Arial" w:hAnsi="Arial"/>
        </w:rPr>
        <w:t>Misra</w:t>
      </w:r>
      <w:r>
        <w:rPr>
          <w:rFonts w:ascii="Arial" w:cs="Arial" w:hAnsi="Arial"/>
        </w:rPr>
        <w:t xml:space="preserve"> sr, </w:t>
      </w:r>
      <w:r>
        <w:rPr>
          <w:rFonts w:ascii="Arial" w:cs="Arial" w:hAnsi="Arial"/>
        </w:rPr>
        <w:t>yaDaV</w:t>
      </w:r>
      <w:r>
        <w:rPr>
          <w:rFonts w:ascii="Arial" w:cs="Arial" w:hAnsi="Arial"/>
        </w:rPr>
        <w:t xml:space="preserve"> l, </w:t>
      </w:r>
      <w:r>
        <w:rPr>
          <w:rFonts w:ascii="Arial" w:cs="Arial" w:hAnsi="Arial"/>
        </w:rPr>
        <w:t>sharMa</w:t>
      </w:r>
      <w:r>
        <w:rPr>
          <w:rFonts w:ascii="Arial" w:cs="Arial" w:hAnsi="Arial"/>
        </w:rPr>
        <w:t xml:space="preserve"> V. </w:t>
      </w:r>
      <w:r>
        <w:rPr>
          <w:rFonts w:ascii="Arial" w:cs="Arial" w:hAnsi="Arial"/>
        </w:rPr>
        <w:t>Emperipolesis</w:t>
      </w:r>
      <w:r>
        <w:rPr>
          <w:rFonts w:ascii="Arial" w:cs="Arial" w:hAnsi="Arial"/>
        </w:rPr>
        <w:t xml:space="preserve"> - a </w:t>
      </w:r>
      <w:r>
        <w:rPr>
          <w:rFonts w:ascii="Arial" w:cs="Arial" w:hAnsi="Arial"/>
        </w:rPr>
        <w:t>review</w:t>
      </w:r>
      <w:r>
        <w:rPr>
          <w:rFonts w:ascii="Arial" w:cs="Arial" w:hAnsi="Arial"/>
        </w:rPr>
        <w:t>. J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Clin </w:t>
      </w:r>
      <w:r>
        <w:rPr>
          <w:rFonts w:ascii="Arial" w:cs="Arial" w:hAnsi="Arial"/>
        </w:rPr>
        <w:t>Diagn</w:t>
      </w:r>
      <w:r>
        <w:rPr>
          <w:rFonts w:ascii="Arial" w:cs="Arial" w:hAnsi="Arial"/>
        </w:rPr>
        <w:t xml:space="preserve"> Res 2014; 8: 1-2.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VaiselBuh</w:t>
      </w:r>
      <w:r>
        <w:rPr>
          <w:rFonts w:ascii="Arial" w:cs="Arial" w:hAnsi="Arial"/>
        </w:rPr>
        <w:t xml:space="preserve"> sr, </w:t>
      </w:r>
      <w:r>
        <w:rPr>
          <w:rFonts w:ascii="Arial" w:cs="Arial" w:hAnsi="Arial"/>
        </w:rPr>
        <w:t>BryCesoN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yt</w:t>
      </w:r>
      <w:r>
        <w:rPr>
          <w:rFonts w:ascii="Arial" w:cs="Arial" w:hAnsi="Arial"/>
        </w:rPr>
        <w:t xml:space="preserve">, </w:t>
      </w:r>
      <w:r>
        <w:rPr>
          <w:rFonts w:ascii="Arial" w:cs="Arial" w:hAnsi="Arial"/>
        </w:rPr>
        <w:t>alleN</w:t>
      </w:r>
      <w:r>
        <w:rPr>
          <w:rFonts w:ascii="Arial" w:cs="Arial" w:hAnsi="Arial"/>
        </w:rPr>
        <w:t xml:space="preserve"> Ce, </w:t>
      </w:r>
      <w:r>
        <w:rPr>
          <w:rFonts w:ascii="Arial" w:cs="Arial" w:hAnsi="Arial"/>
        </w:rPr>
        <w:t>WhitloCk</w:t>
      </w:r>
      <w:r>
        <w:rPr>
          <w:rFonts w:ascii="Arial" w:cs="Arial" w:hAnsi="Arial"/>
        </w:rPr>
        <w:t xml:space="preserve"> Ja, </w:t>
      </w:r>
      <w:r>
        <w:rPr>
          <w:rFonts w:ascii="Arial" w:cs="Arial" w:hAnsi="Arial"/>
        </w:rPr>
        <w:t>aBla</w:t>
      </w:r>
      <w:r>
        <w:rPr>
          <w:rFonts w:ascii="Arial" w:cs="Arial" w:hAnsi="Arial"/>
        </w:rPr>
        <w:t xml:space="preserve"> o. </w:t>
      </w:r>
      <w:r>
        <w:rPr>
          <w:rFonts w:ascii="Arial" w:cs="Arial" w:hAnsi="Arial"/>
        </w:rPr>
        <w:t>Updates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on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histiocytic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disorders</w:t>
      </w:r>
      <w:r>
        <w:rPr>
          <w:rFonts w:ascii="Arial" w:cs="Arial" w:hAnsi="Arial"/>
        </w:rPr>
        <w:t xml:space="preserve">. </w:t>
      </w:r>
      <w:r>
        <w:rPr>
          <w:rFonts w:ascii="Arial" w:cs="Arial" w:hAnsi="Arial"/>
        </w:rPr>
        <w:t>Pediatr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Blood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Cancer</w:t>
      </w:r>
      <w:r>
        <w:rPr>
          <w:rFonts w:ascii="Arial" w:cs="Arial" w:hAnsi="Arial"/>
        </w:rPr>
        <w:t xml:space="preserve"> 2014; 61: 1329-35.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Venkataraman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Girish</w:t>
      </w:r>
      <w:r>
        <w:rPr>
          <w:rFonts w:ascii="Arial" w:cs="Arial" w:hAnsi="Arial"/>
        </w:rPr>
        <w:t xml:space="preserve">, MD, McClain Kenneth L., MD PhD, </w:t>
      </w:r>
      <w:r>
        <w:rPr>
          <w:rFonts w:ascii="Arial" w:cs="Arial" w:hAnsi="Arial"/>
        </w:rPr>
        <w:t>Pittaluga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Stefania</w:t>
      </w:r>
      <w:r>
        <w:rPr>
          <w:rFonts w:ascii="Arial" w:cs="Arial" w:hAnsi="Arial"/>
        </w:rPr>
        <w:t xml:space="preserve">, MD PhD, Rao V. </w:t>
      </w:r>
      <w:r>
        <w:rPr>
          <w:rFonts w:ascii="Arial" w:cs="Arial" w:hAnsi="Arial"/>
        </w:rPr>
        <w:t>Koneti</w:t>
      </w:r>
      <w:r>
        <w:rPr>
          <w:rFonts w:ascii="Arial" w:cs="Arial" w:hAnsi="Arial"/>
        </w:rPr>
        <w:t xml:space="preserve">, MD, and Jaffe Elaine S. </w:t>
      </w:r>
      <w:r>
        <w:rPr>
          <w:rFonts w:ascii="Arial" w:cs="Arial" w:hAnsi="Arial"/>
        </w:rPr>
        <w:t>Development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o</w:t>
      </w:r>
      <w:r>
        <w:rPr>
          <w:rFonts w:ascii="Arial" w:cs="Arial" w:hAnsi="Arial"/>
        </w:rPr>
        <w:t>f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Disseminated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Histiocytic</w:t>
      </w:r>
      <w:r>
        <w:rPr>
          <w:rFonts w:ascii="Arial" w:cs="Arial" w:hAnsi="Arial"/>
        </w:rPr>
        <w:t xml:space="preserve"> Sarcoma in a </w:t>
      </w:r>
      <w:r>
        <w:rPr>
          <w:rFonts w:ascii="Arial" w:cs="Arial" w:hAnsi="Arial"/>
        </w:rPr>
        <w:t>patient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with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Autoimmune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Lymphoproliferative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Syndrome</w:t>
      </w:r>
      <w:r>
        <w:rPr>
          <w:rFonts w:ascii="Arial" w:cs="Arial" w:hAnsi="Arial"/>
        </w:rPr>
        <w:t xml:space="preserve"> (ALPS) and </w:t>
      </w:r>
      <w:r>
        <w:rPr>
          <w:rFonts w:ascii="Arial" w:cs="Arial" w:hAnsi="Arial"/>
        </w:rPr>
        <w:t>Associated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Rosai</w:t>
      </w:r>
      <w:r>
        <w:rPr>
          <w:rFonts w:ascii="Arial" w:cs="Arial" w:hAnsi="Arial"/>
        </w:rPr>
        <w:t xml:space="preserve">-Dorfman </w:t>
      </w:r>
      <w:r>
        <w:rPr>
          <w:rFonts w:ascii="Arial" w:cs="Arial" w:hAnsi="Arial"/>
        </w:rPr>
        <w:t>Disease</w:t>
      </w:r>
      <w:r>
        <w:rPr>
          <w:rFonts w:ascii="Arial" w:cs="Arial" w:hAnsi="Arial"/>
        </w:rPr>
        <w:t>. Am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JSurgPathol.2010April;34(4):589–</w:t>
      </w:r>
      <w:r>
        <w:rPr>
          <w:rFonts w:ascii="Arial" w:cs="Arial" w:hAnsi="Arial"/>
        </w:rPr>
        <w:t>594.doi:10.1097/PAS.0b013e3181d5ddf8</w:t>
      </w:r>
      <w:r>
        <w:rPr>
          <w:rFonts w:ascii="Arial" w:cs="Arial" w:hAnsi="Arial"/>
        </w:rPr>
        <w:t>.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Poompuen</w:t>
      </w:r>
      <w:r>
        <w:rPr>
          <w:rFonts w:ascii="Arial" w:cs="Arial" w:hAnsi="Arial"/>
        </w:rPr>
        <w:t xml:space="preserve"> S, </w:t>
      </w:r>
      <w:r>
        <w:rPr>
          <w:rFonts w:ascii="Arial" w:cs="Arial" w:hAnsi="Arial"/>
        </w:rPr>
        <w:t>Chaiyarit</w:t>
      </w:r>
      <w:r>
        <w:rPr>
          <w:rFonts w:ascii="Arial" w:cs="Arial" w:hAnsi="Arial"/>
        </w:rPr>
        <w:t xml:space="preserve"> J, </w:t>
      </w:r>
      <w:r>
        <w:rPr>
          <w:rFonts w:ascii="Arial" w:cs="Arial" w:hAnsi="Arial"/>
        </w:rPr>
        <w:t>Techasatian</w:t>
      </w:r>
      <w:r>
        <w:rPr>
          <w:rFonts w:ascii="Arial" w:cs="Arial" w:hAnsi="Arial"/>
        </w:rPr>
        <w:t xml:space="preserve"> L. </w:t>
      </w:r>
      <w:r>
        <w:rPr>
          <w:rFonts w:ascii="Arial" w:cs="Arial" w:hAnsi="Arial"/>
        </w:rPr>
        <w:t>Diverse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cutaneous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manifestation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of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Langerhans </w:t>
      </w:r>
      <w:r>
        <w:rPr>
          <w:rFonts w:ascii="Arial" w:cs="Arial" w:hAnsi="Arial"/>
        </w:rPr>
        <w:t>cell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histiocytosis</w:t>
      </w:r>
      <w:r>
        <w:rPr>
          <w:rFonts w:ascii="Arial" w:cs="Arial" w:hAnsi="Arial"/>
        </w:rPr>
        <w:t xml:space="preserve">: a 10-year </w:t>
      </w:r>
      <w:r>
        <w:rPr>
          <w:rFonts w:ascii="Arial" w:cs="Arial" w:hAnsi="Arial"/>
        </w:rPr>
        <w:t>retrospective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cohort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study</w:t>
      </w:r>
      <w:r>
        <w:rPr>
          <w:rFonts w:ascii="Arial" w:cs="Arial" w:hAnsi="Arial"/>
        </w:rPr>
        <w:t xml:space="preserve">. </w:t>
      </w:r>
      <w:r>
        <w:rPr>
          <w:rFonts w:ascii="Arial" w:cs="Arial" w:hAnsi="Arial"/>
        </w:rPr>
        <w:t>Eur</w:t>
      </w:r>
      <w:r>
        <w:rPr>
          <w:rFonts w:ascii="Arial" w:cs="Arial" w:hAnsi="Arial"/>
        </w:rPr>
        <w:t xml:space="preserve"> J </w:t>
      </w:r>
      <w:r>
        <w:rPr>
          <w:rFonts w:ascii="Arial" w:cs="Arial" w:hAnsi="Arial"/>
        </w:rPr>
        <w:t>Pediatr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2019;178:771</w:t>
      </w:r>
      <w:r>
        <w:rPr>
          <w:rFonts w:ascii="Arial" w:cs="Arial" w:hAnsi="Arial"/>
        </w:rPr>
        <w:t>-6. https://doi.org/:10.1007/s00431-019-03356-1</w:t>
      </w:r>
    </w:p>
    <w:p>
      <w:pPr>
        <w:pStyle w:val="style179"/>
        <w:numPr>
          <w:ilvl w:val="0"/>
          <w:numId w:val="1"/>
        </w:numPr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Hernández VSD, Cortés HS, López SF, Aldape BBC. Xantoma central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mandibular. Presentación de un caso, seguimiento a 2 años. </w:t>
      </w:r>
      <w:r>
        <w:rPr>
          <w:rFonts w:ascii="Arial" w:cs="Arial" w:hAnsi="Arial"/>
        </w:rPr>
        <w:t>Rev</w:t>
      </w:r>
      <w:r>
        <w:rPr>
          <w:rFonts w:ascii="Arial" w:cs="Arial" w:hAnsi="Arial"/>
        </w:rPr>
        <w:t xml:space="preserve"> Mex </w:t>
      </w:r>
      <w:r>
        <w:rPr>
          <w:rFonts w:ascii="Arial" w:cs="Arial" w:hAnsi="Arial"/>
        </w:rPr>
        <w:t>Cir</w:t>
      </w:r>
      <w:r>
        <w:rPr>
          <w:rFonts w:ascii="Arial" w:cs="Arial" w:hAnsi="Arial"/>
        </w:rPr>
        <w:t xml:space="preserve"> Bucal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Maxilofac</w:t>
      </w:r>
      <w:r>
        <w:rPr>
          <w:rFonts w:ascii="Arial" w:cs="Arial" w:hAnsi="Arial"/>
        </w:rPr>
        <w:t xml:space="preserve">. 2020; 16 (2 y 3): 110-117. </w:t>
      </w:r>
      <w:r>
        <w:rPr/>
        <w:fldChar w:fldCharType="begin"/>
      </w:r>
      <w:r>
        <w:instrText xml:space="preserve"> HYPERLINK "https://dx.doi.org/10.35366/97709" </w:instrText>
      </w:r>
      <w:r>
        <w:rPr/>
        <w:fldChar w:fldCharType="separate"/>
      </w:r>
      <w:r>
        <w:rPr>
          <w:rStyle w:val="style85"/>
          <w:rFonts w:ascii="Arial" w:cs="Arial" w:hAnsi="Arial"/>
        </w:rPr>
        <w:t>https://dx.doi.org/10.35366/97709</w:t>
      </w:r>
      <w:r>
        <w:rPr/>
        <w:fldChar w:fldCharType="end"/>
      </w:r>
    </w:p>
    <w:p>
      <w:pPr>
        <w:pStyle w:val="style0"/>
        <w:spacing w:after="200" w:lineRule="auto" w:line="360"/>
        <w:ind w:left="360"/>
        <w:jc w:val="both"/>
        <w:rPr>
          <w:rFonts w:ascii="Arial" w:cs="Arial" w:hAnsi="Arial"/>
        </w:rPr>
      </w:pPr>
    </w:p>
    <w:p>
      <w:pPr>
        <w:pStyle w:val="style0"/>
        <w:rPr>
          <w:rFonts w:ascii="Arial" w:cs="Arial" w:hAnsi="Arial" w:eastAsiaTheme="minorEastAsia"/>
          <w:sz w:val="24"/>
          <w:szCs w:val="24"/>
          <w:lang w:val="es-ES"/>
        </w:rPr>
      </w:pPr>
      <w:r>
        <w:rPr>
          <w:rFonts w:ascii="Arial" w:cs="Arial" w:hAnsi="Arial"/>
        </w:rPr>
        <w:br w:type="page"/>
      </w:r>
    </w:p>
    <w:p>
      <w:pPr>
        <w:pStyle w:val="style0"/>
        <w:spacing w:after="200" w:lineRule="auto" w:line="36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>Anexos:</w:t>
      </w:r>
    </w:p>
    <w:p>
      <w:pPr>
        <w:pStyle w:val="style0"/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Fig. 1. Imagen de la TAC de cabeza y cuello donde se observa un tumor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redondeado en fosa clavicular derecha compatible con paquete de adenomegalias</w:t>
      </w:r>
      <w:r>
        <w:rPr>
          <w:rFonts w:ascii="Arial" w:cs="Arial" w:hAnsi="Arial"/>
        </w:rPr>
        <w:t>.</w:t>
      </w:r>
    </w:p>
    <w:p>
      <w:pPr>
        <w:pStyle w:val="style0"/>
        <w:spacing w:after="200" w:lineRule="auto" w:line="360"/>
        <w:jc w:val="both"/>
        <w:rPr>
          <w:rFonts w:ascii="Arial" w:cs="Arial" w:hAnsi="Arial"/>
        </w:rPr>
      </w:pPr>
      <w:r>
        <w:rPr>
          <w:noProof/>
        </w:rPr>
        <w:drawing>
          <wp:inline distT="0" distB="0" distL="0" distR="0">
            <wp:extent cx="2867025" cy="2428875"/>
            <wp:effectExtent l="0" t="0" r="9525" b="9525"/>
            <wp:docPr id="1032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after="200"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>Fig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2: A</w:t>
      </w:r>
      <w:r>
        <w:rPr>
          <w:rFonts w:ascii="Arial" w:cs="Arial" w:hAnsi="Arial"/>
        </w:rPr>
        <w:t>: Tinción con hematoxilina-eosina. B Inmunohistoquímica S100 positivo</w:t>
      </w:r>
    </w:p>
    <w:p>
      <w:pPr>
        <w:pStyle w:val="style0"/>
        <w:spacing w:after="200" w:lineRule="auto" w:line="360"/>
        <w:jc w:val="both"/>
        <w:rPr>
          <w:rFonts w:ascii="Arial" w:cs="Arial" w:hAnsi="Arial"/>
        </w:rPr>
      </w:pPr>
      <w:r>
        <w:rPr>
          <w:noProof/>
        </w:rPr>
        <w:drawing>
          <wp:inline distT="0" distB="0" distL="0" distR="0">
            <wp:extent cx="1609724" cy="2133599"/>
            <wp:effectExtent l="0" t="0" r="9525" b="0"/>
            <wp:docPr id="1033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style0"/>
        <w:spacing w:after="200" w:lineRule="auto" w:line="360"/>
        <w:jc w:val="both"/>
        <w:rPr>
          <w:rFonts w:ascii="Arial" w:cs="Arial" w:hAnsi="Arial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 w:orient="portrait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altName w:val="Bernard MT Condensed"/>
    <w:panose1 w:val="020508060600090204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  <w:r>
      <w:rPr>
        <w:noProof/>
      </w:rPr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40465" cy="16035019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1340465" cy="160350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  <w:r>
      <w:rPr>
        <w:noProof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40465" cy="16035019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1340465" cy="160350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40465" cy="16035019"/>
          <wp:effectExtent l="0" t="0" r="0" b="0"/>
          <wp:wrapNone/>
          <wp:docPr id="4100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1340465" cy="160350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1AA42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Calibri" w:eastAsia="Calibri" w:hAnsi="Calibri"/>
        <w:sz w:val="22"/>
        <w:szCs w:val="22"/>
        <w:lang w:val="es-ES_tradnl" w:bidi="ar-SA" w:eastAsia="es-E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table" w:customStyle="1" w:styleId="style4098">
    <w:name w:val="Table Normal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Lucida Grande" w:hAnsi="Lucida Grande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Lucida Grande" w:hAnsi="Lucida Grande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hAnsi="Times New Roman" w:eastAsiaTheme="minorEastAsia"/>
      <w:sz w:val="24"/>
      <w:szCs w:val="24"/>
      <w:lang w:val="es-E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1">
    <w:name w:val="Encabezado Car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2">
    <w:name w:val="Pie de página Car"/>
    <w:basedOn w:val="style65"/>
    <w:next w:val="style4102"/>
    <w:link w:val="style32"/>
    <w:uiPriority w:val="99"/>
  </w:style>
  <w:style w:type="paragraph" w:customStyle="1" w:styleId="style4103">
    <w:name w:val="ng-binding-old"/>
    <w:basedOn w:val="style0"/>
    <w:next w:val="style410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s-ES"/>
    </w:rPr>
  </w:style>
  <w:style w:type="character" w:customStyle="1" w:styleId="style4104">
    <w:name w:val="elsevieritemautor"/>
    <w:basedOn w:val="style65"/>
    <w:next w:val="style4104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header" Target="header5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2447</Words>
  <Characters>14546</Characters>
  <Application>WPS Office</Application>
  <DocSecurity>0</DocSecurity>
  <Paragraphs>120</Paragraphs>
  <ScaleCrop>false</ScaleCrop>
  <LinksUpToDate>false</LinksUpToDate>
  <CharactersWithSpaces>16925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2022-10-29T00:44:22Z</dcterms:created>
  <dc:creator>WPS Office</dc:creator>
  <lastModifiedBy>5024A</lastModifiedBy>
  <dcterms:modified xsi:type="dcterms:W3CDTF">2022-10-29T00:44:22Z</dcterms:modified>
  <revision>18</revision>
</coreProperties>
</file>