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C8" w:rsidRPr="00E45DDD" w:rsidRDefault="00E131C8" w:rsidP="00E131C8">
      <w:pPr>
        <w:spacing w:line="360" w:lineRule="auto"/>
        <w:jc w:val="both"/>
        <w:rPr>
          <w:rFonts w:cstheme="minorHAnsi"/>
          <w:b/>
          <w:sz w:val="24"/>
          <w:szCs w:val="24"/>
        </w:rPr>
      </w:pPr>
      <w:r w:rsidRPr="00E45DDD">
        <w:rPr>
          <w:rFonts w:cstheme="minorHAnsi"/>
          <w:b/>
          <w:sz w:val="24"/>
          <w:szCs w:val="24"/>
        </w:rPr>
        <w:t>ART</w:t>
      </w:r>
      <w:r>
        <w:rPr>
          <w:rFonts w:cstheme="minorHAnsi"/>
          <w:b/>
          <w:sz w:val="24"/>
          <w:szCs w:val="24"/>
        </w:rPr>
        <w:t>Í</w:t>
      </w:r>
      <w:r w:rsidRPr="00E45DDD">
        <w:rPr>
          <w:rFonts w:cstheme="minorHAnsi"/>
          <w:b/>
          <w:sz w:val="24"/>
          <w:szCs w:val="24"/>
        </w:rPr>
        <w:t>ULO ORIGINAL</w:t>
      </w:r>
    </w:p>
    <w:p w:rsidR="00E131C8" w:rsidRPr="00E45DDD" w:rsidRDefault="00E131C8" w:rsidP="00E131C8">
      <w:pPr>
        <w:spacing w:line="360" w:lineRule="auto"/>
        <w:jc w:val="both"/>
        <w:rPr>
          <w:rFonts w:cstheme="minorHAnsi"/>
          <w:b/>
          <w:color w:val="000000"/>
          <w:sz w:val="24"/>
          <w:szCs w:val="24"/>
        </w:rPr>
      </w:pPr>
      <w:r w:rsidRPr="00E45DDD">
        <w:rPr>
          <w:rFonts w:cstheme="minorHAnsi"/>
          <w:b/>
          <w:color w:val="000000"/>
          <w:sz w:val="24"/>
          <w:szCs w:val="24"/>
        </w:rPr>
        <w:t xml:space="preserve">Uso del </w:t>
      </w:r>
      <w:proofErr w:type="spellStart"/>
      <w:r w:rsidRPr="00E45DDD">
        <w:rPr>
          <w:rFonts w:cstheme="minorHAnsi"/>
          <w:b/>
          <w:color w:val="000000"/>
          <w:sz w:val="24"/>
          <w:szCs w:val="24"/>
        </w:rPr>
        <w:t>Peptido</w:t>
      </w:r>
      <w:proofErr w:type="spellEnd"/>
      <w:r w:rsidRPr="00E45DDD">
        <w:rPr>
          <w:rFonts w:cstheme="minorHAnsi"/>
          <w:b/>
          <w:color w:val="000000"/>
          <w:sz w:val="24"/>
          <w:szCs w:val="24"/>
        </w:rPr>
        <w:t xml:space="preserve"> Natriurético Cerebral en el diagnóstico y en la respuesta terapéutica de la insuficiencia cardíaca</w:t>
      </w:r>
    </w:p>
    <w:p w:rsidR="00E131C8" w:rsidRPr="00364511" w:rsidRDefault="00E131C8" w:rsidP="00E131C8">
      <w:pPr>
        <w:spacing w:line="360" w:lineRule="auto"/>
        <w:jc w:val="both"/>
        <w:rPr>
          <w:rFonts w:cstheme="minorHAnsi"/>
          <w:color w:val="000000"/>
          <w:sz w:val="24"/>
          <w:szCs w:val="24"/>
          <w:vertAlign w:val="superscript"/>
        </w:rPr>
      </w:pPr>
      <w:r w:rsidRPr="00E45DDD">
        <w:rPr>
          <w:rFonts w:cstheme="minorHAnsi"/>
          <w:color w:val="000000"/>
          <w:sz w:val="24"/>
          <w:szCs w:val="24"/>
        </w:rPr>
        <w:t>Autores:</w:t>
      </w:r>
      <w:r w:rsidRPr="00E45DDD">
        <w:rPr>
          <w:rFonts w:cstheme="minorHAnsi"/>
          <w:sz w:val="24"/>
          <w:szCs w:val="24"/>
        </w:rPr>
        <w:t xml:space="preserve"> Tania </w:t>
      </w:r>
      <w:proofErr w:type="spellStart"/>
      <w:r w:rsidRPr="00E45DDD">
        <w:rPr>
          <w:rFonts w:cstheme="minorHAnsi"/>
          <w:sz w:val="24"/>
          <w:szCs w:val="24"/>
        </w:rPr>
        <w:t>Carbonell</w:t>
      </w:r>
      <w:proofErr w:type="spellEnd"/>
      <w:r w:rsidRPr="00E45DDD">
        <w:rPr>
          <w:rFonts w:cstheme="minorHAnsi"/>
          <w:sz w:val="24"/>
          <w:szCs w:val="24"/>
        </w:rPr>
        <w:t xml:space="preserve"> Amiot</w:t>
      </w:r>
      <w:r w:rsidRPr="00E45DDD">
        <w:rPr>
          <w:rFonts w:cstheme="minorHAnsi"/>
          <w:sz w:val="24"/>
          <w:szCs w:val="24"/>
          <w:vertAlign w:val="superscript"/>
        </w:rPr>
        <w:t>1</w:t>
      </w:r>
      <w:r w:rsidRPr="00E45DDD">
        <w:rPr>
          <w:rFonts w:cstheme="minorHAnsi"/>
          <w:sz w:val="24"/>
          <w:szCs w:val="24"/>
        </w:rPr>
        <w:t xml:space="preserve">, </w:t>
      </w:r>
      <w:proofErr w:type="spellStart"/>
      <w:r w:rsidRPr="00E45DDD">
        <w:rPr>
          <w:rFonts w:cstheme="minorHAnsi"/>
          <w:sz w:val="24"/>
          <w:szCs w:val="24"/>
        </w:rPr>
        <w:t>Armandode</w:t>
      </w:r>
      <w:proofErr w:type="spellEnd"/>
      <w:r w:rsidRPr="00E45DDD">
        <w:rPr>
          <w:rFonts w:cstheme="minorHAnsi"/>
          <w:sz w:val="24"/>
          <w:szCs w:val="24"/>
        </w:rPr>
        <w:t xml:space="preserve"> Jesús </w:t>
      </w:r>
      <w:proofErr w:type="spellStart"/>
      <w:r w:rsidRPr="00E45DDD">
        <w:rPr>
          <w:rFonts w:cstheme="minorHAnsi"/>
          <w:sz w:val="24"/>
          <w:szCs w:val="24"/>
        </w:rPr>
        <w:t>Soublet</w:t>
      </w:r>
      <w:proofErr w:type="spellEnd"/>
      <w:r w:rsidRPr="00E45DDD">
        <w:rPr>
          <w:rFonts w:cstheme="minorHAnsi"/>
          <w:sz w:val="24"/>
          <w:szCs w:val="24"/>
        </w:rPr>
        <w:t xml:space="preserve"> Quevedo</w:t>
      </w:r>
      <w:r w:rsidRPr="00E45DDD">
        <w:rPr>
          <w:rFonts w:cstheme="minorHAnsi"/>
          <w:sz w:val="24"/>
          <w:szCs w:val="24"/>
          <w:vertAlign w:val="superscript"/>
        </w:rPr>
        <w:t>2</w:t>
      </w:r>
      <w:r w:rsidRPr="00E45DDD">
        <w:rPr>
          <w:rFonts w:cstheme="minorHAnsi"/>
          <w:sz w:val="24"/>
          <w:szCs w:val="24"/>
        </w:rPr>
        <w:t xml:space="preserve">, Alexis Armando </w:t>
      </w:r>
      <w:proofErr w:type="spellStart"/>
      <w:r w:rsidRPr="00E45DDD">
        <w:rPr>
          <w:rFonts w:cstheme="minorHAnsi"/>
          <w:sz w:val="24"/>
          <w:szCs w:val="24"/>
        </w:rPr>
        <w:t>Soublet</w:t>
      </w:r>
      <w:proofErr w:type="spellEnd"/>
      <w:r w:rsidRPr="00E45DDD">
        <w:rPr>
          <w:rFonts w:cstheme="minorHAnsi"/>
          <w:sz w:val="24"/>
          <w:szCs w:val="24"/>
        </w:rPr>
        <w:t xml:space="preserve"> Quevedo</w:t>
      </w:r>
      <w:r w:rsidRPr="00E45DDD">
        <w:rPr>
          <w:rFonts w:cstheme="minorHAnsi"/>
          <w:sz w:val="24"/>
          <w:szCs w:val="24"/>
          <w:vertAlign w:val="superscript"/>
        </w:rPr>
        <w:t>3</w:t>
      </w:r>
      <w:r>
        <w:rPr>
          <w:rFonts w:cstheme="minorHAnsi"/>
          <w:sz w:val="24"/>
          <w:szCs w:val="24"/>
        </w:rPr>
        <w:t xml:space="preserve">, Claudia </w:t>
      </w:r>
      <w:proofErr w:type="spellStart"/>
      <w:r>
        <w:rPr>
          <w:rFonts w:cstheme="minorHAnsi"/>
          <w:sz w:val="24"/>
          <w:szCs w:val="24"/>
        </w:rPr>
        <w:t>Dayalis</w:t>
      </w:r>
      <w:proofErr w:type="spellEnd"/>
      <w:r>
        <w:rPr>
          <w:rFonts w:cstheme="minorHAnsi"/>
          <w:sz w:val="24"/>
          <w:szCs w:val="24"/>
        </w:rPr>
        <w:t xml:space="preserve"> Sarmiento Baralt</w:t>
      </w:r>
      <w:r>
        <w:rPr>
          <w:rFonts w:cstheme="minorHAnsi"/>
          <w:sz w:val="24"/>
          <w:szCs w:val="24"/>
          <w:vertAlign w:val="superscript"/>
        </w:rPr>
        <w:t>4</w:t>
      </w:r>
    </w:p>
    <w:p w:rsidR="00E131C8" w:rsidRPr="00E45DDD" w:rsidRDefault="00E131C8" w:rsidP="00E131C8">
      <w:pPr>
        <w:spacing w:after="100" w:afterAutospacing="1" w:line="360" w:lineRule="auto"/>
        <w:jc w:val="both"/>
        <w:rPr>
          <w:rStyle w:val="orcid-id-https"/>
          <w:rFonts w:cstheme="minorHAnsi"/>
          <w:sz w:val="24"/>
          <w:szCs w:val="24"/>
          <w:lang w:val="en-US"/>
        </w:rPr>
      </w:pPr>
      <w:r w:rsidRPr="00E45DDD">
        <w:rPr>
          <w:rFonts w:cstheme="minorHAnsi"/>
          <w:sz w:val="24"/>
          <w:szCs w:val="24"/>
          <w:vertAlign w:val="superscript"/>
        </w:rPr>
        <w:t>1</w:t>
      </w:r>
      <w:r w:rsidRPr="00E45DDD">
        <w:rPr>
          <w:rFonts w:cstheme="minorHAnsi"/>
          <w:sz w:val="24"/>
          <w:szCs w:val="24"/>
        </w:rPr>
        <w:t xml:space="preserve"> Hospital Provincial Saturnino Lora. Santiago de Cuba, Cuba. </w:t>
      </w:r>
      <w:proofErr w:type="spellStart"/>
      <w:r w:rsidRPr="00E45DDD">
        <w:rPr>
          <w:rFonts w:cstheme="minorHAnsi"/>
          <w:sz w:val="24"/>
          <w:szCs w:val="24"/>
          <w:lang w:val="en-US"/>
        </w:rPr>
        <w:t>Orcid</w:t>
      </w:r>
      <w:proofErr w:type="spellEnd"/>
      <w:r w:rsidRPr="00E45DDD">
        <w:rPr>
          <w:rFonts w:cstheme="minorHAnsi"/>
          <w:sz w:val="24"/>
          <w:szCs w:val="24"/>
          <w:lang w:val="en-US"/>
        </w:rPr>
        <w:t xml:space="preserve">: </w:t>
      </w:r>
      <w:r w:rsidRPr="00E45DDD">
        <w:rPr>
          <w:rStyle w:val="orcid-id-https"/>
          <w:rFonts w:cstheme="minorHAnsi"/>
          <w:sz w:val="24"/>
          <w:szCs w:val="24"/>
          <w:lang w:val="en-US"/>
        </w:rPr>
        <w:t>orcid.org/0000-0001-8577-1880</w:t>
      </w:r>
    </w:p>
    <w:p w:rsidR="00E131C8" w:rsidRPr="00E45DDD" w:rsidRDefault="00E131C8" w:rsidP="00E131C8">
      <w:pPr>
        <w:spacing w:after="100" w:afterAutospacing="1" w:line="360" w:lineRule="auto"/>
        <w:jc w:val="both"/>
        <w:rPr>
          <w:rStyle w:val="orcid-id-https"/>
          <w:rFonts w:cstheme="minorHAnsi"/>
          <w:sz w:val="24"/>
          <w:szCs w:val="24"/>
        </w:rPr>
      </w:pPr>
      <w:proofErr w:type="gramStart"/>
      <w:r w:rsidRPr="00E45DDD">
        <w:rPr>
          <w:rFonts w:cstheme="minorHAnsi"/>
          <w:sz w:val="24"/>
          <w:szCs w:val="24"/>
          <w:vertAlign w:val="superscript"/>
          <w:lang w:val="en-US"/>
        </w:rPr>
        <w:t>2</w:t>
      </w:r>
      <w:r w:rsidRPr="00E45DDD">
        <w:rPr>
          <w:rFonts w:cstheme="minorHAnsi"/>
          <w:sz w:val="24"/>
          <w:szCs w:val="24"/>
          <w:lang w:val="en-US"/>
        </w:rPr>
        <w:t xml:space="preserve"> Hospital Provincial </w:t>
      </w:r>
      <w:proofErr w:type="spellStart"/>
      <w:r w:rsidRPr="00E45DDD">
        <w:rPr>
          <w:rFonts w:cstheme="minorHAnsi"/>
          <w:sz w:val="24"/>
          <w:szCs w:val="24"/>
          <w:lang w:val="en-US"/>
        </w:rPr>
        <w:t>Saturnino</w:t>
      </w:r>
      <w:proofErr w:type="spellEnd"/>
      <w:r w:rsidRPr="00E45DDD">
        <w:rPr>
          <w:rFonts w:cstheme="minorHAnsi"/>
          <w:sz w:val="24"/>
          <w:szCs w:val="24"/>
          <w:lang w:val="en-US"/>
        </w:rPr>
        <w:t xml:space="preserve"> Lora.</w:t>
      </w:r>
      <w:proofErr w:type="gramEnd"/>
      <w:r w:rsidRPr="00E45DDD">
        <w:rPr>
          <w:rFonts w:cstheme="minorHAnsi"/>
          <w:sz w:val="24"/>
          <w:szCs w:val="24"/>
          <w:lang w:val="en-US"/>
        </w:rPr>
        <w:t xml:space="preserve"> </w:t>
      </w:r>
      <w:r w:rsidRPr="00E45DDD">
        <w:rPr>
          <w:rFonts w:cstheme="minorHAnsi"/>
          <w:sz w:val="24"/>
          <w:szCs w:val="24"/>
        </w:rPr>
        <w:t xml:space="preserve">Santiago de Cuba, Cuba. </w:t>
      </w:r>
      <w:proofErr w:type="spellStart"/>
      <w:r w:rsidRPr="00E45DDD">
        <w:rPr>
          <w:rFonts w:cstheme="minorHAnsi"/>
          <w:sz w:val="24"/>
          <w:szCs w:val="24"/>
        </w:rPr>
        <w:t>Orcid</w:t>
      </w:r>
      <w:proofErr w:type="spellEnd"/>
      <w:r w:rsidRPr="00E45DDD">
        <w:rPr>
          <w:rFonts w:cstheme="minorHAnsi"/>
          <w:sz w:val="24"/>
          <w:szCs w:val="24"/>
        </w:rPr>
        <w:t xml:space="preserve">: </w:t>
      </w:r>
      <w:r w:rsidRPr="00E45DDD">
        <w:rPr>
          <w:rStyle w:val="orcid-id-https"/>
          <w:rFonts w:cstheme="minorHAnsi"/>
          <w:sz w:val="24"/>
          <w:szCs w:val="24"/>
        </w:rPr>
        <w:t>orcid.org/0000-0003-2658-0835</w:t>
      </w:r>
    </w:p>
    <w:p w:rsidR="00E131C8" w:rsidRDefault="00E131C8" w:rsidP="00E131C8">
      <w:pPr>
        <w:spacing w:after="100" w:afterAutospacing="1" w:line="360" w:lineRule="auto"/>
        <w:jc w:val="both"/>
        <w:rPr>
          <w:rStyle w:val="orcid-id-https"/>
          <w:rFonts w:cstheme="minorHAnsi"/>
          <w:sz w:val="24"/>
          <w:szCs w:val="24"/>
        </w:rPr>
      </w:pPr>
      <w:r w:rsidRPr="00E45DDD">
        <w:rPr>
          <w:rFonts w:cstheme="minorHAnsi"/>
          <w:sz w:val="24"/>
          <w:szCs w:val="24"/>
          <w:vertAlign w:val="superscript"/>
        </w:rPr>
        <w:t>3</w:t>
      </w:r>
      <w:r w:rsidRPr="00E45DDD">
        <w:rPr>
          <w:rFonts w:cstheme="minorHAnsi"/>
          <w:sz w:val="24"/>
          <w:szCs w:val="24"/>
        </w:rPr>
        <w:t xml:space="preserve">Universidad de Ciencias Médicas de Santiago de Cuba. Facultad de Medicina No.1. </w:t>
      </w:r>
      <w:proofErr w:type="spellStart"/>
      <w:r w:rsidRPr="00E45DDD">
        <w:rPr>
          <w:rFonts w:cstheme="minorHAnsi"/>
          <w:sz w:val="24"/>
          <w:szCs w:val="24"/>
        </w:rPr>
        <w:t>Orcid</w:t>
      </w:r>
      <w:proofErr w:type="spellEnd"/>
      <w:r w:rsidRPr="00E45DDD">
        <w:rPr>
          <w:rFonts w:cstheme="minorHAnsi"/>
          <w:sz w:val="24"/>
          <w:szCs w:val="24"/>
        </w:rPr>
        <w:t xml:space="preserve">: </w:t>
      </w:r>
      <w:r w:rsidRPr="00E45DDD">
        <w:rPr>
          <w:rStyle w:val="orcid-id-https"/>
          <w:rFonts w:cstheme="minorHAnsi"/>
          <w:sz w:val="24"/>
          <w:szCs w:val="24"/>
        </w:rPr>
        <w:t>orcid.org/0000-0003-3213-5359</w:t>
      </w:r>
    </w:p>
    <w:p w:rsidR="00E131C8" w:rsidRDefault="00E131C8" w:rsidP="00E131C8">
      <w:pPr>
        <w:spacing w:after="100" w:afterAutospacing="1" w:line="360" w:lineRule="auto"/>
        <w:jc w:val="both"/>
        <w:rPr>
          <w:rStyle w:val="orcid-id-https"/>
          <w:rFonts w:cstheme="minorHAnsi"/>
          <w:sz w:val="24"/>
          <w:szCs w:val="24"/>
        </w:rPr>
      </w:pPr>
      <w:r>
        <w:rPr>
          <w:rStyle w:val="orcid-id-https"/>
          <w:rFonts w:cstheme="minorHAnsi"/>
          <w:sz w:val="24"/>
          <w:szCs w:val="24"/>
          <w:vertAlign w:val="superscript"/>
        </w:rPr>
        <w:t>4</w:t>
      </w:r>
      <w:r w:rsidRPr="00364511">
        <w:rPr>
          <w:rFonts w:cstheme="minorHAnsi"/>
          <w:sz w:val="24"/>
          <w:szCs w:val="24"/>
        </w:rPr>
        <w:t xml:space="preserve"> </w:t>
      </w:r>
      <w:r w:rsidRPr="00E45DDD">
        <w:rPr>
          <w:rFonts w:cstheme="minorHAnsi"/>
          <w:sz w:val="24"/>
          <w:szCs w:val="24"/>
        </w:rPr>
        <w:t xml:space="preserve">Universidad de Ciencias Médicas de Santiago de Cuba. Facultad de Medicina No.1. </w:t>
      </w:r>
      <w:proofErr w:type="spellStart"/>
      <w:r w:rsidRPr="00E45DDD">
        <w:rPr>
          <w:rFonts w:cstheme="minorHAnsi"/>
          <w:sz w:val="24"/>
          <w:szCs w:val="24"/>
        </w:rPr>
        <w:t>Orcid</w:t>
      </w:r>
      <w:proofErr w:type="spellEnd"/>
      <w:r w:rsidRPr="00E45DDD">
        <w:rPr>
          <w:rFonts w:cstheme="minorHAnsi"/>
          <w:sz w:val="24"/>
          <w:szCs w:val="24"/>
        </w:rPr>
        <w:t xml:space="preserve">: </w:t>
      </w:r>
      <w:r>
        <w:rPr>
          <w:rStyle w:val="orcid-id-https"/>
          <w:rFonts w:cstheme="minorHAnsi"/>
          <w:sz w:val="24"/>
          <w:szCs w:val="24"/>
        </w:rPr>
        <w:t>orcid.org/0000-0002-5134</w:t>
      </w:r>
      <w:r w:rsidRPr="00E45DDD">
        <w:rPr>
          <w:rStyle w:val="orcid-id-https"/>
          <w:rFonts w:cstheme="minorHAnsi"/>
          <w:sz w:val="24"/>
          <w:szCs w:val="24"/>
        </w:rPr>
        <w:t>-5</w:t>
      </w:r>
      <w:r>
        <w:rPr>
          <w:rStyle w:val="orcid-id-https"/>
          <w:rFonts w:cstheme="minorHAnsi"/>
          <w:sz w:val="24"/>
          <w:szCs w:val="24"/>
        </w:rPr>
        <w:t>063</w:t>
      </w:r>
    </w:p>
    <w:p w:rsidR="00E131C8" w:rsidRPr="00E45DDD" w:rsidRDefault="00E131C8" w:rsidP="00E131C8">
      <w:pPr>
        <w:spacing w:after="100" w:afterAutospacing="1" w:line="360" w:lineRule="auto"/>
        <w:jc w:val="both"/>
        <w:rPr>
          <w:rFonts w:cstheme="minorHAnsi"/>
          <w:sz w:val="24"/>
          <w:szCs w:val="24"/>
        </w:rPr>
      </w:pPr>
    </w:p>
    <w:p w:rsidR="00E131C8" w:rsidRPr="00E45DDD" w:rsidRDefault="00E131C8" w:rsidP="00E131C8">
      <w:pPr>
        <w:spacing w:after="100" w:afterAutospacing="1" w:line="360" w:lineRule="auto"/>
        <w:jc w:val="both"/>
        <w:rPr>
          <w:rStyle w:val="Hipervnculo"/>
          <w:rFonts w:cstheme="minorHAnsi"/>
          <w:sz w:val="24"/>
          <w:szCs w:val="24"/>
        </w:rPr>
      </w:pPr>
      <w:r w:rsidRPr="00E45DDD">
        <w:rPr>
          <w:rFonts w:cstheme="minorHAnsi"/>
          <w:b/>
          <w:sz w:val="24"/>
          <w:szCs w:val="24"/>
        </w:rPr>
        <w:t xml:space="preserve">Autor para la correspondencia: </w:t>
      </w:r>
      <w:hyperlink r:id="rId5" w:history="1">
        <w:r w:rsidRPr="00E45DDD">
          <w:rPr>
            <w:rStyle w:val="Hipervnculo"/>
            <w:rFonts w:cstheme="minorHAnsi"/>
            <w:sz w:val="24"/>
            <w:szCs w:val="24"/>
          </w:rPr>
          <w:t>alexiarmando.soublet@gmail.com</w:t>
        </w:r>
      </w:hyperlink>
    </w:p>
    <w:p w:rsidR="00E131C8" w:rsidRPr="00E45DDD" w:rsidRDefault="00E131C8" w:rsidP="00E131C8">
      <w:pPr>
        <w:spacing w:after="100" w:afterAutospacing="1" w:line="360" w:lineRule="auto"/>
        <w:jc w:val="both"/>
        <w:rPr>
          <w:rFonts w:cstheme="minorHAnsi"/>
          <w:color w:val="0563C1"/>
          <w:sz w:val="24"/>
          <w:szCs w:val="24"/>
          <w:u w:val="single"/>
        </w:rPr>
      </w:pPr>
      <w:r w:rsidRPr="00E45DDD">
        <w:rPr>
          <w:rFonts w:cstheme="minorHAnsi"/>
          <w:b/>
          <w:sz w:val="24"/>
          <w:szCs w:val="24"/>
        </w:rPr>
        <w:t xml:space="preserve">RESUMEN </w:t>
      </w:r>
    </w:p>
    <w:p w:rsidR="00E131C8" w:rsidRDefault="00E131C8" w:rsidP="00E131C8">
      <w:pPr>
        <w:spacing w:line="360" w:lineRule="auto"/>
        <w:jc w:val="both"/>
        <w:rPr>
          <w:rFonts w:cstheme="minorHAnsi"/>
          <w:sz w:val="24"/>
          <w:szCs w:val="24"/>
        </w:rPr>
      </w:pPr>
      <w:r w:rsidRPr="00E45DDD">
        <w:rPr>
          <w:rFonts w:cstheme="minorHAnsi"/>
          <w:b/>
          <w:sz w:val="24"/>
          <w:szCs w:val="24"/>
        </w:rPr>
        <w:t>Introducción:</w:t>
      </w:r>
      <w:r w:rsidRPr="00E45DDD">
        <w:rPr>
          <w:rFonts w:cstheme="minorHAnsi"/>
          <w:sz w:val="24"/>
          <w:szCs w:val="24"/>
        </w:rPr>
        <w:t xml:space="preserve"> existe un 30% de la población general con disfunción ventricular que permanece asintomática, patentada en su momento como insuficiencia cardíaca </w:t>
      </w:r>
      <w:proofErr w:type="spellStart"/>
      <w:r w:rsidRPr="00E45DDD">
        <w:rPr>
          <w:rFonts w:cstheme="minorHAnsi"/>
          <w:sz w:val="24"/>
          <w:szCs w:val="24"/>
        </w:rPr>
        <w:t>subclínica</w:t>
      </w:r>
      <w:proofErr w:type="spellEnd"/>
      <w:r w:rsidRPr="00E45DDD">
        <w:rPr>
          <w:rFonts w:cstheme="minorHAnsi"/>
          <w:sz w:val="24"/>
          <w:szCs w:val="24"/>
        </w:rPr>
        <w:t xml:space="preserve">, por su condición encubierta y como consecuencia, aproximadamente la mitad de los pacientes fallecen a los cuatro años después de diagnosticados. </w:t>
      </w:r>
    </w:p>
    <w:p w:rsidR="00E131C8" w:rsidRPr="00364511" w:rsidRDefault="00E131C8" w:rsidP="00E131C8">
      <w:pPr>
        <w:spacing w:after="160" w:line="360" w:lineRule="auto"/>
        <w:jc w:val="both"/>
        <w:rPr>
          <w:rFonts w:eastAsia="Calibri" w:cstheme="minorHAnsi"/>
          <w:sz w:val="24"/>
          <w:szCs w:val="24"/>
        </w:rPr>
      </w:pPr>
      <w:r w:rsidRPr="00E45DDD">
        <w:rPr>
          <w:rFonts w:cstheme="minorHAnsi"/>
          <w:b/>
          <w:sz w:val="24"/>
          <w:szCs w:val="24"/>
        </w:rPr>
        <w:t>Objetivo:</w:t>
      </w:r>
      <w:r w:rsidRPr="00364511">
        <w:rPr>
          <w:rFonts w:ascii="Arial" w:eastAsia="Arial" w:hAnsi="Arial" w:cs="Arial"/>
          <w:sz w:val="24"/>
          <w:szCs w:val="24"/>
        </w:rPr>
        <w:t xml:space="preserve"> </w:t>
      </w:r>
      <w:r w:rsidRPr="00364511">
        <w:rPr>
          <w:rFonts w:eastAsia="Arial" w:cstheme="minorHAnsi"/>
          <w:sz w:val="24"/>
          <w:szCs w:val="24"/>
        </w:rPr>
        <w:t xml:space="preserve">Caracterizar, desde el punto de vista epidemiológico, clínico y diagnóstico a los pacientes ingresados por insuficiencia cardiaca en el Servicio de Medicina interna del </w:t>
      </w:r>
      <w:r w:rsidRPr="00364511">
        <w:rPr>
          <w:rFonts w:eastAsia="Arial" w:cstheme="minorHAnsi"/>
          <w:sz w:val="24"/>
          <w:szCs w:val="24"/>
        </w:rPr>
        <w:lastRenderedPageBreak/>
        <w:t xml:space="preserve">Hospital Provincial “Saturnino Lora” de Santiago de Cuba </w:t>
      </w:r>
      <w:r w:rsidRPr="00E201FA">
        <w:rPr>
          <w:rFonts w:cstheme="minorHAnsi"/>
        </w:rPr>
        <w:t>desde octubre del 2018 hasta octubre del 2020.</w:t>
      </w:r>
    </w:p>
    <w:p w:rsidR="00E131C8" w:rsidRPr="00E45DDD" w:rsidRDefault="00E131C8" w:rsidP="00E131C8">
      <w:pPr>
        <w:shd w:val="clear" w:color="auto" w:fill="FFFFFF"/>
        <w:tabs>
          <w:tab w:val="left" w:pos="425"/>
        </w:tabs>
        <w:spacing w:before="240" w:line="360" w:lineRule="auto"/>
        <w:jc w:val="both"/>
        <w:rPr>
          <w:rFonts w:eastAsia="Arial" w:cstheme="minorHAnsi"/>
          <w:b/>
          <w:sz w:val="24"/>
          <w:szCs w:val="24"/>
        </w:rPr>
      </w:pPr>
    </w:p>
    <w:p w:rsidR="00E131C8" w:rsidRPr="00E45DDD" w:rsidRDefault="00E131C8" w:rsidP="00E131C8">
      <w:pPr>
        <w:spacing w:line="360" w:lineRule="auto"/>
        <w:jc w:val="both"/>
        <w:rPr>
          <w:rFonts w:cstheme="minorHAnsi"/>
          <w:sz w:val="24"/>
          <w:szCs w:val="24"/>
        </w:rPr>
      </w:pPr>
      <w:r w:rsidRPr="00E45DDD">
        <w:rPr>
          <w:rFonts w:cstheme="minorHAnsi"/>
          <w:b/>
          <w:sz w:val="24"/>
          <w:szCs w:val="24"/>
        </w:rPr>
        <w:t>Método:</w:t>
      </w:r>
      <w:r w:rsidRPr="00E45DDD">
        <w:rPr>
          <w:rFonts w:cstheme="minorHAnsi"/>
          <w:sz w:val="24"/>
          <w:szCs w:val="24"/>
        </w:rPr>
        <w:t xml:space="preserve"> estudio </w:t>
      </w:r>
      <w:r>
        <w:rPr>
          <w:rFonts w:cstheme="minorHAnsi"/>
          <w:sz w:val="24"/>
          <w:szCs w:val="24"/>
        </w:rPr>
        <w:t xml:space="preserve">cuantitativo, </w:t>
      </w:r>
      <w:r w:rsidRPr="00E45DDD">
        <w:rPr>
          <w:rFonts w:cstheme="minorHAnsi"/>
          <w:sz w:val="24"/>
          <w:szCs w:val="24"/>
        </w:rPr>
        <w:t>observacional, descriptivo,</w:t>
      </w:r>
      <w:r>
        <w:rPr>
          <w:rFonts w:cstheme="minorHAnsi"/>
          <w:sz w:val="24"/>
          <w:szCs w:val="24"/>
        </w:rPr>
        <w:t xml:space="preserve"> transversal</w:t>
      </w:r>
      <w:r w:rsidRPr="00E45DDD">
        <w:rPr>
          <w:rFonts w:cstheme="minorHAnsi"/>
          <w:sz w:val="24"/>
          <w:szCs w:val="24"/>
        </w:rPr>
        <w:t xml:space="preserve"> de serie de casos. Fue seleccionada una muestra aleatoria de 25 enfermos, egresados del Servicio de Medicina Interna del Hospital Provincial Saturnino Lora con el diagnóstico clínico y </w:t>
      </w:r>
      <w:proofErr w:type="spellStart"/>
      <w:r w:rsidRPr="00E45DDD">
        <w:rPr>
          <w:rFonts w:cstheme="minorHAnsi"/>
          <w:sz w:val="24"/>
          <w:szCs w:val="24"/>
        </w:rPr>
        <w:t>ecocardiográfico</w:t>
      </w:r>
      <w:proofErr w:type="spellEnd"/>
      <w:r w:rsidRPr="00E45DDD">
        <w:rPr>
          <w:rFonts w:cstheme="minorHAnsi"/>
          <w:sz w:val="24"/>
          <w:szCs w:val="24"/>
        </w:rPr>
        <w:t xml:space="preserve"> de insuficiencia cardíaca. Fueron estudiadas variables epidemiológicas, diagnóstico-clínicas y terapéutico-evolutivas. Se calcularon números absolutos y porcentajes. </w:t>
      </w:r>
    </w:p>
    <w:p w:rsidR="00E131C8" w:rsidRPr="00E45DDD" w:rsidRDefault="00E131C8" w:rsidP="00E131C8">
      <w:pPr>
        <w:spacing w:line="360" w:lineRule="auto"/>
        <w:jc w:val="both"/>
        <w:rPr>
          <w:rFonts w:cstheme="minorHAnsi"/>
          <w:sz w:val="24"/>
          <w:szCs w:val="24"/>
        </w:rPr>
      </w:pPr>
      <w:r w:rsidRPr="00E45DDD">
        <w:rPr>
          <w:rFonts w:cstheme="minorHAnsi"/>
          <w:b/>
          <w:sz w:val="24"/>
          <w:szCs w:val="24"/>
        </w:rPr>
        <w:t>Resultado:</w:t>
      </w:r>
      <w:r w:rsidRPr="00E45DDD">
        <w:rPr>
          <w:rFonts w:cstheme="minorHAnsi"/>
          <w:sz w:val="24"/>
          <w:szCs w:val="24"/>
        </w:rPr>
        <w:t xml:space="preserve"> La mayor incidencia de la edad se presentó en pacientes mayores de 71 años, así como prevaleció el sexo femenino. La hipertensión arterial y el sedentarismo fueron los factores de riesgo asociados más frecuentes con el 88,0 %, en ambos casos. </w:t>
      </w:r>
      <w:r w:rsidRPr="00E45DDD">
        <w:rPr>
          <w:rFonts w:eastAsia="Arial" w:cstheme="minorHAnsi"/>
          <w:sz w:val="24"/>
          <w:szCs w:val="24"/>
        </w:rPr>
        <w:t xml:space="preserve">La cardiopatía hipertensiva fue la que registró mayor número de enfermos con 10 o más años de evolución para un 12,0 %. </w:t>
      </w:r>
      <w:r w:rsidRPr="00E45DDD">
        <w:rPr>
          <w:rFonts w:cstheme="minorHAnsi"/>
          <w:sz w:val="24"/>
          <w:szCs w:val="24"/>
        </w:rPr>
        <w:t>La totalidad de los enfermos presentaban aumento del Péptido Natriurético Cerebral al ingreso y solo el 20,0 % de egresó sin variación de este parámetro, posterior al tratamiento impuesto.</w:t>
      </w:r>
    </w:p>
    <w:p w:rsidR="00E131C8" w:rsidRPr="00E45DDD" w:rsidRDefault="00E131C8" w:rsidP="00E131C8">
      <w:pPr>
        <w:spacing w:line="360" w:lineRule="auto"/>
        <w:jc w:val="both"/>
        <w:rPr>
          <w:rFonts w:cstheme="minorHAnsi"/>
          <w:sz w:val="24"/>
          <w:szCs w:val="24"/>
        </w:rPr>
      </w:pPr>
      <w:r w:rsidRPr="00E45DDD">
        <w:rPr>
          <w:rFonts w:cstheme="minorHAnsi"/>
          <w:b/>
          <w:sz w:val="24"/>
          <w:szCs w:val="24"/>
        </w:rPr>
        <w:t>Conclusiones:</w:t>
      </w:r>
      <w:r w:rsidRPr="00E45DDD">
        <w:rPr>
          <w:rFonts w:cstheme="minorHAnsi"/>
          <w:sz w:val="24"/>
          <w:szCs w:val="24"/>
        </w:rPr>
        <w:t xml:space="preserve"> se evidenció la utilidad del Péptido Natriurético Cerebral en el diagnóstico, la evaluación de la respuesta y el estado al egreso. </w:t>
      </w:r>
    </w:p>
    <w:p w:rsidR="00E131C8" w:rsidRPr="00E45DDD" w:rsidRDefault="00E131C8" w:rsidP="00E131C8">
      <w:pPr>
        <w:spacing w:line="360" w:lineRule="auto"/>
        <w:jc w:val="both"/>
        <w:rPr>
          <w:rFonts w:cstheme="minorHAnsi"/>
          <w:sz w:val="24"/>
          <w:szCs w:val="24"/>
        </w:rPr>
      </w:pPr>
      <w:r w:rsidRPr="00E45DDD">
        <w:rPr>
          <w:rFonts w:cstheme="minorHAnsi"/>
          <w:b/>
          <w:sz w:val="24"/>
          <w:szCs w:val="24"/>
        </w:rPr>
        <w:t>Palabras clave:</w:t>
      </w:r>
      <w:r w:rsidRPr="00E45DDD">
        <w:rPr>
          <w:rFonts w:cstheme="minorHAnsi"/>
          <w:sz w:val="24"/>
          <w:szCs w:val="24"/>
        </w:rPr>
        <w:t xml:space="preserve"> Insuficiencia Cardiaca; Péptido Natriurético Cerebral; Terapéutica. </w:t>
      </w:r>
    </w:p>
    <w:p w:rsidR="00E131C8" w:rsidRPr="00E45DDD" w:rsidRDefault="00E131C8" w:rsidP="00E131C8">
      <w:pPr>
        <w:shd w:val="clear" w:color="auto" w:fill="FFFFFF"/>
        <w:spacing w:line="360" w:lineRule="auto"/>
        <w:jc w:val="both"/>
        <w:rPr>
          <w:rStyle w:val="jlqj4b"/>
          <w:rFonts w:cstheme="minorHAnsi"/>
          <w:b/>
          <w:sz w:val="24"/>
          <w:szCs w:val="24"/>
          <w:lang w:val="en-US"/>
        </w:rPr>
      </w:pPr>
      <w:r>
        <w:rPr>
          <w:rStyle w:val="jlqj4b"/>
          <w:rFonts w:cstheme="minorHAnsi"/>
          <w:b/>
          <w:sz w:val="24"/>
          <w:szCs w:val="24"/>
          <w:lang w:val="en-US"/>
        </w:rPr>
        <w:t>ABSTRAC</w:t>
      </w:r>
    </w:p>
    <w:p w:rsidR="00E131C8" w:rsidRPr="00E45DDD" w:rsidRDefault="00E131C8" w:rsidP="00E131C8">
      <w:pPr>
        <w:shd w:val="clear" w:color="auto" w:fill="FFFFFF"/>
        <w:spacing w:line="360" w:lineRule="auto"/>
        <w:jc w:val="both"/>
        <w:rPr>
          <w:rStyle w:val="jlqj4b"/>
          <w:rFonts w:cstheme="minorHAnsi"/>
          <w:sz w:val="24"/>
          <w:szCs w:val="24"/>
          <w:lang w:val="en-US"/>
        </w:rPr>
      </w:pPr>
      <w:r w:rsidRPr="00E45DDD">
        <w:rPr>
          <w:rStyle w:val="jlqj4b"/>
          <w:rFonts w:cstheme="minorHAnsi"/>
          <w:b/>
          <w:sz w:val="24"/>
          <w:szCs w:val="24"/>
          <w:lang w:val="en-US"/>
        </w:rPr>
        <w:t>Introduction:</w:t>
      </w:r>
      <w:r w:rsidRPr="00E45DDD">
        <w:rPr>
          <w:rStyle w:val="jlqj4b"/>
          <w:rFonts w:cstheme="minorHAnsi"/>
          <w:sz w:val="24"/>
          <w:szCs w:val="24"/>
          <w:lang w:val="en-US"/>
        </w:rPr>
        <w:t xml:space="preserve"> there is 30 % of the general population with ventricular dysfunction that remains asymptomatic, patented at the time as subclinical heart failure, due to its covert condition and as a consequence, approximately half of the patients die four years after being diagnosed. </w:t>
      </w:r>
    </w:p>
    <w:p w:rsidR="00E131C8" w:rsidRPr="00E45DDD" w:rsidRDefault="00E131C8" w:rsidP="00E131C8">
      <w:pPr>
        <w:shd w:val="clear" w:color="auto" w:fill="FFFFFF"/>
        <w:spacing w:line="360" w:lineRule="auto"/>
        <w:jc w:val="both"/>
        <w:rPr>
          <w:rStyle w:val="jlqj4b"/>
          <w:rFonts w:cstheme="minorHAnsi"/>
          <w:sz w:val="24"/>
          <w:szCs w:val="24"/>
          <w:lang w:val="en-US"/>
        </w:rPr>
      </w:pPr>
      <w:r w:rsidRPr="00E45DDD">
        <w:rPr>
          <w:rStyle w:val="jlqj4b"/>
          <w:rFonts w:cstheme="minorHAnsi"/>
          <w:b/>
          <w:sz w:val="24"/>
          <w:szCs w:val="24"/>
          <w:lang w:val="en-US"/>
        </w:rPr>
        <w:lastRenderedPageBreak/>
        <w:t>Objective:</w:t>
      </w:r>
      <w:r w:rsidRPr="00E45DDD">
        <w:rPr>
          <w:rStyle w:val="jlqj4b"/>
          <w:rFonts w:cstheme="minorHAnsi"/>
          <w:sz w:val="24"/>
          <w:szCs w:val="24"/>
          <w:lang w:val="en-US"/>
        </w:rPr>
        <w:t xml:space="preserve"> to </w:t>
      </w:r>
      <w:r>
        <w:rPr>
          <w:rStyle w:val="jlqj4b"/>
          <w:rFonts w:cstheme="minorHAnsi"/>
          <w:sz w:val="24"/>
          <w:szCs w:val="24"/>
          <w:lang w:val="en-US"/>
        </w:rPr>
        <w:t xml:space="preserve">characterize, from the epidemiological, clinical and diagnostic point of view, the patients admitted for heart failure in the Internal Medicine Service of the </w:t>
      </w:r>
      <w:proofErr w:type="spellStart"/>
      <w:r>
        <w:rPr>
          <w:rStyle w:val="jlqj4b"/>
          <w:rFonts w:cstheme="minorHAnsi"/>
          <w:sz w:val="24"/>
          <w:szCs w:val="24"/>
          <w:lang w:val="en-US"/>
        </w:rPr>
        <w:t>Saturnino</w:t>
      </w:r>
      <w:proofErr w:type="spellEnd"/>
      <w:r>
        <w:rPr>
          <w:rStyle w:val="jlqj4b"/>
          <w:rFonts w:cstheme="minorHAnsi"/>
          <w:sz w:val="24"/>
          <w:szCs w:val="24"/>
          <w:lang w:val="en-US"/>
        </w:rPr>
        <w:t xml:space="preserve"> Lora Hospital in Santiago of Cuba from October 2018 to October 2020.</w:t>
      </w:r>
      <w:r w:rsidRPr="00E45DDD">
        <w:rPr>
          <w:rStyle w:val="jlqj4b"/>
          <w:rFonts w:cstheme="minorHAnsi"/>
          <w:sz w:val="24"/>
          <w:szCs w:val="24"/>
          <w:lang w:val="en-US"/>
        </w:rPr>
        <w:t xml:space="preserve"> </w:t>
      </w:r>
    </w:p>
    <w:p w:rsidR="00E131C8" w:rsidRPr="00E45DDD" w:rsidRDefault="00E131C8" w:rsidP="00E131C8">
      <w:pPr>
        <w:shd w:val="clear" w:color="auto" w:fill="FFFFFF"/>
        <w:spacing w:line="360" w:lineRule="auto"/>
        <w:jc w:val="both"/>
        <w:rPr>
          <w:rStyle w:val="jlqj4b"/>
          <w:rFonts w:cstheme="minorHAnsi"/>
          <w:sz w:val="24"/>
          <w:szCs w:val="24"/>
          <w:lang w:val="en-US"/>
        </w:rPr>
      </w:pPr>
      <w:r w:rsidRPr="00E45DDD">
        <w:rPr>
          <w:rStyle w:val="jlqj4b"/>
          <w:rFonts w:cstheme="minorHAnsi"/>
          <w:b/>
          <w:sz w:val="24"/>
          <w:szCs w:val="24"/>
          <w:lang w:val="en-US"/>
        </w:rPr>
        <w:t>Method:</w:t>
      </w:r>
      <w:r w:rsidRPr="00E45DDD">
        <w:rPr>
          <w:rStyle w:val="jlqj4b"/>
          <w:rFonts w:cstheme="minorHAnsi"/>
          <w:sz w:val="24"/>
          <w:szCs w:val="24"/>
          <w:lang w:val="en-US"/>
        </w:rPr>
        <w:t xml:space="preserve"> </w:t>
      </w:r>
      <w:proofErr w:type="spellStart"/>
      <w:r>
        <w:rPr>
          <w:rStyle w:val="jlqj4b"/>
          <w:rFonts w:cstheme="minorHAnsi"/>
          <w:sz w:val="24"/>
          <w:szCs w:val="24"/>
          <w:lang w:val="en-US"/>
        </w:rPr>
        <w:t>cuantitative</w:t>
      </w:r>
      <w:proofErr w:type="spellEnd"/>
      <w:r>
        <w:rPr>
          <w:rStyle w:val="jlqj4b"/>
          <w:rFonts w:cstheme="minorHAnsi"/>
          <w:sz w:val="24"/>
          <w:szCs w:val="24"/>
          <w:lang w:val="en-US"/>
        </w:rPr>
        <w:t xml:space="preserve">, </w:t>
      </w:r>
      <w:r w:rsidRPr="00E45DDD">
        <w:rPr>
          <w:rStyle w:val="jlqj4b"/>
          <w:rFonts w:cstheme="minorHAnsi"/>
          <w:sz w:val="24"/>
          <w:szCs w:val="24"/>
          <w:lang w:val="en-US"/>
        </w:rPr>
        <w:t>observational, descriptive,</w:t>
      </w:r>
      <w:r>
        <w:rPr>
          <w:rStyle w:val="jlqj4b"/>
          <w:rFonts w:cstheme="minorHAnsi"/>
          <w:sz w:val="24"/>
          <w:szCs w:val="24"/>
          <w:lang w:val="en-US"/>
        </w:rPr>
        <w:t xml:space="preserve"> transversal</w:t>
      </w:r>
      <w:r w:rsidRPr="00E45DDD">
        <w:rPr>
          <w:rStyle w:val="jlqj4b"/>
          <w:rFonts w:cstheme="minorHAnsi"/>
          <w:sz w:val="24"/>
          <w:szCs w:val="24"/>
          <w:lang w:val="en-US"/>
        </w:rPr>
        <w:t xml:space="preserve"> case series study. A random sample of 25 patients, graduated from the Internal Medicine Service of the </w:t>
      </w:r>
      <w:proofErr w:type="spellStart"/>
      <w:r w:rsidRPr="00E45DDD">
        <w:rPr>
          <w:rStyle w:val="jlqj4b"/>
          <w:rFonts w:cstheme="minorHAnsi"/>
          <w:sz w:val="24"/>
          <w:szCs w:val="24"/>
          <w:lang w:val="en-US"/>
        </w:rPr>
        <w:t>Saturnino</w:t>
      </w:r>
      <w:proofErr w:type="spellEnd"/>
      <w:r w:rsidRPr="00E45DDD">
        <w:rPr>
          <w:rStyle w:val="jlqj4b"/>
          <w:rFonts w:cstheme="minorHAnsi"/>
          <w:sz w:val="24"/>
          <w:szCs w:val="24"/>
          <w:lang w:val="en-US"/>
        </w:rPr>
        <w:t xml:space="preserve"> Lora Provincial Hospital with a clinical and </w:t>
      </w:r>
      <w:proofErr w:type="spellStart"/>
      <w:r w:rsidRPr="00E45DDD">
        <w:rPr>
          <w:rStyle w:val="jlqj4b"/>
          <w:rFonts w:cstheme="minorHAnsi"/>
          <w:sz w:val="24"/>
          <w:szCs w:val="24"/>
          <w:lang w:val="en-US"/>
        </w:rPr>
        <w:t>echocardiographic</w:t>
      </w:r>
      <w:proofErr w:type="spellEnd"/>
      <w:r w:rsidRPr="00E45DDD">
        <w:rPr>
          <w:rStyle w:val="jlqj4b"/>
          <w:rFonts w:cstheme="minorHAnsi"/>
          <w:sz w:val="24"/>
          <w:szCs w:val="24"/>
          <w:lang w:val="en-US"/>
        </w:rPr>
        <w:t xml:space="preserve"> diagnosis of heart failure, was selected. Epidemiological, diagnostic-clinical and therapeutic-evolutionary variables were studied. Absolute numbers and percentages were calculated. </w:t>
      </w:r>
    </w:p>
    <w:p w:rsidR="00E131C8" w:rsidRPr="00E45DDD" w:rsidRDefault="00E131C8" w:rsidP="00E131C8">
      <w:pPr>
        <w:shd w:val="clear" w:color="auto" w:fill="FFFFFF"/>
        <w:spacing w:line="360" w:lineRule="auto"/>
        <w:jc w:val="both"/>
        <w:rPr>
          <w:rStyle w:val="jlqj4b"/>
          <w:rFonts w:cstheme="minorHAnsi"/>
          <w:sz w:val="24"/>
          <w:szCs w:val="24"/>
          <w:lang w:val="en-US"/>
        </w:rPr>
      </w:pPr>
      <w:r w:rsidRPr="00E45DDD">
        <w:rPr>
          <w:rStyle w:val="jlqj4b"/>
          <w:rFonts w:cstheme="minorHAnsi"/>
          <w:b/>
          <w:sz w:val="24"/>
          <w:szCs w:val="24"/>
          <w:lang w:val="en-US"/>
        </w:rPr>
        <w:t>Result:</w:t>
      </w:r>
      <w:r w:rsidRPr="00E45DDD">
        <w:rPr>
          <w:rStyle w:val="jlqj4b"/>
          <w:rFonts w:cstheme="minorHAnsi"/>
          <w:sz w:val="24"/>
          <w:szCs w:val="24"/>
          <w:lang w:val="en-US"/>
        </w:rPr>
        <w:t xml:space="preserve"> The highest incidence of age occurred in patients older than 71 years, as well as the female sex. High blood pressure and sedentary lifestyle were the most frequent associated risk factors with 88.0%, in both cases. Hypertensive heart disease was the one that registered the highest number of patients with 10 or more years of evolution for 12.0%. All the patients presented an increase in Brain </w:t>
      </w:r>
      <w:proofErr w:type="spellStart"/>
      <w:r w:rsidRPr="00E45DDD">
        <w:rPr>
          <w:rStyle w:val="jlqj4b"/>
          <w:rFonts w:cstheme="minorHAnsi"/>
          <w:sz w:val="24"/>
          <w:szCs w:val="24"/>
          <w:lang w:val="en-US"/>
        </w:rPr>
        <w:t>Natriuretic</w:t>
      </w:r>
      <w:proofErr w:type="spellEnd"/>
      <w:r w:rsidRPr="00E45DDD">
        <w:rPr>
          <w:rStyle w:val="jlqj4b"/>
          <w:rFonts w:cstheme="minorHAnsi"/>
          <w:sz w:val="24"/>
          <w:szCs w:val="24"/>
          <w:lang w:val="en-US"/>
        </w:rPr>
        <w:t xml:space="preserve"> Peptide upon admission and only 20.0% of the patients discharged without variation of this parameter, after the imposed treatment. </w:t>
      </w:r>
    </w:p>
    <w:p w:rsidR="00E131C8" w:rsidRPr="00E45DDD" w:rsidRDefault="00E131C8" w:rsidP="00E131C8">
      <w:pPr>
        <w:shd w:val="clear" w:color="auto" w:fill="FFFFFF"/>
        <w:spacing w:line="360" w:lineRule="auto"/>
        <w:jc w:val="both"/>
        <w:rPr>
          <w:rStyle w:val="jlqj4b"/>
          <w:rFonts w:cstheme="minorHAnsi"/>
          <w:sz w:val="24"/>
          <w:szCs w:val="24"/>
          <w:lang w:val="en-US"/>
        </w:rPr>
      </w:pPr>
      <w:r w:rsidRPr="00E45DDD">
        <w:rPr>
          <w:rStyle w:val="jlqj4b"/>
          <w:rFonts w:cstheme="minorHAnsi"/>
          <w:b/>
          <w:sz w:val="24"/>
          <w:szCs w:val="24"/>
          <w:lang w:val="en-US"/>
        </w:rPr>
        <w:t>Conclusions:</w:t>
      </w:r>
      <w:r w:rsidRPr="00E45DDD">
        <w:rPr>
          <w:rStyle w:val="jlqj4b"/>
          <w:rFonts w:cstheme="minorHAnsi"/>
          <w:sz w:val="24"/>
          <w:szCs w:val="24"/>
          <w:lang w:val="en-US"/>
        </w:rPr>
        <w:t xml:space="preserve"> the usefulness of the Brain </w:t>
      </w:r>
      <w:proofErr w:type="spellStart"/>
      <w:r w:rsidRPr="00E45DDD">
        <w:rPr>
          <w:rStyle w:val="jlqj4b"/>
          <w:rFonts w:cstheme="minorHAnsi"/>
          <w:sz w:val="24"/>
          <w:szCs w:val="24"/>
          <w:lang w:val="en-US"/>
        </w:rPr>
        <w:t>Natriuretic</w:t>
      </w:r>
      <w:proofErr w:type="spellEnd"/>
      <w:r w:rsidRPr="00E45DDD">
        <w:rPr>
          <w:rStyle w:val="jlqj4b"/>
          <w:rFonts w:cstheme="minorHAnsi"/>
          <w:sz w:val="24"/>
          <w:szCs w:val="24"/>
          <w:lang w:val="en-US"/>
        </w:rPr>
        <w:t xml:space="preserve"> Peptide was evidenced in the diagnosis, the evaluation of the response and the state at discharge. </w:t>
      </w:r>
    </w:p>
    <w:p w:rsidR="00E131C8" w:rsidRPr="00E45DDD" w:rsidRDefault="00E131C8" w:rsidP="00E131C8">
      <w:pPr>
        <w:shd w:val="clear" w:color="auto" w:fill="FFFFFF"/>
        <w:spacing w:line="360" w:lineRule="auto"/>
        <w:jc w:val="both"/>
        <w:rPr>
          <w:rFonts w:eastAsia="Arial" w:cstheme="minorHAnsi"/>
          <w:b/>
          <w:sz w:val="24"/>
          <w:szCs w:val="24"/>
          <w:lang w:val="en-GB"/>
        </w:rPr>
      </w:pPr>
      <w:r w:rsidRPr="00E45DDD">
        <w:rPr>
          <w:rStyle w:val="jlqj4b"/>
          <w:rFonts w:cstheme="minorHAnsi"/>
          <w:b/>
          <w:sz w:val="24"/>
          <w:szCs w:val="24"/>
          <w:lang w:val="en-US"/>
        </w:rPr>
        <w:t>Keywords:</w:t>
      </w:r>
      <w:r w:rsidRPr="00E45DDD">
        <w:rPr>
          <w:rStyle w:val="jlqj4b"/>
          <w:rFonts w:cstheme="minorHAnsi"/>
          <w:sz w:val="24"/>
          <w:szCs w:val="24"/>
          <w:lang w:val="en-US"/>
        </w:rPr>
        <w:t xml:space="preserve"> Brain </w:t>
      </w:r>
      <w:proofErr w:type="spellStart"/>
      <w:r w:rsidRPr="00E45DDD">
        <w:rPr>
          <w:rStyle w:val="jlqj4b"/>
          <w:rFonts w:cstheme="minorHAnsi"/>
          <w:sz w:val="24"/>
          <w:szCs w:val="24"/>
          <w:lang w:val="en-US"/>
        </w:rPr>
        <w:t>Natriuretic</w:t>
      </w:r>
      <w:proofErr w:type="spellEnd"/>
      <w:r w:rsidRPr="00E45DDD">
        <w:rPr>
          <w:rStyle w:val="jlqj4b"/>
          <w:rFonts w:cstheme="minorHAnsi"/>
          <w:sz w:val="24"/>
          <w:szCs w:val="24"/>
          <w:lang w:val="en-US"/>
        </w:rPr>
        <w:t xml:space="preserve"> Peptide;</w:t>
      </w:r>
      <w:r w:rsidRPr="003E3F69">
        <w:rPr>
          <w:rStyle w:val="jlqj4b"/>
          <w:rFonts w:cstheme="minorHAnsi"/>
          <w:sz w:val="24"/>
          <w:szCs w:val="24"/>
          <w:lang w:val="en-US"/>
        </w:rPr>
        <w:t xml:space="preserve"> </w:t>
      </w:r>
      <w:r w:rsidRPr="00E45DDD">
        <w:rPr>
          <w:rStyle w:val="jlqj4b"/>
          <w:rFonts w:cstheme="minorHAnsi"/>
          <w:sz w:val="24"/>
          <w:szCs w:val="24"/>
          <w:lang w:val="en-US"/>
        </w:rPr>
        <w:t>Heart Failur</w:t>
      </w:r>
      <w:r>
        <w:rPr>
          <w:rStyle w:val="jlqj4b"/>
          <w:rFonts w:cstheme="minorHAnsi"/>
          <w:sz w:val="24"/>
          <w:szCs w:val="24"/>
          <w:lang w:val="en-US"/>
        </w:rPr>
        <w:t>e;</w:t>
      </w:r>
      <w:r w:rsidRPr="00E45DDD">
        <w:rPr>
          <w:rStyle w:val="jlqj4b"/>
          <w:rFonts w:cstheme="minorHAnsi"/>
          <w:sz w:val="24"/>
          <w:szCs w:val="24"/>
          <w:lang w:val="en-US"/>
        </w:rPr>
        <w:t xml:space="preserve"> Therapy.</w:t>
      </w:r>
    </w:p>
    <w:p w:rsidR="00E131C8" w:rsidRPr="003E3F69" w:rsidRDefault="00E131C8" w:rsidP="00E131C8">
      <w:pPr>
        <w:shd w:val="clear" w:color="auto" w:fill="FFFFFF"/>
        <w:spacing w:line="360" w:lineRule="auto"/>
        <w:jc w:val="both"/>
        <w:rPr>
          <w:rFonts w:eastAsia="Arial" w:cstheme="minorHAnsi"/>
          <w:b/>
          <w:sz w:val="24"/>
          <w:szCs w:val="24"/>
          <w:lang w:val="en-GB"/>
        </w:rPr>
      </w:pPr>
    </w:p>
    <w:p w:rsidR="00E131C8" w:rsidRPr="00E45DDD" w:rsidRDefault="00E131C8" w:rsidP="00E131C8">
      <w:pPr>
        <w:shd w:val="clear" w:color="auto" w:fill="FFFFFF"/>
        <w:spacing w:line="360" w:lineRule="auto"/>
        <w:jc w:val="both"/>
        <w:rPr>
          <w:rFonts w:cstheme="minorHAnsi"/>
          <w:sz w:val="24"/>
          <w:szCs w:val="24"/>
          <w:lang w:eastAsia="es-MX"/>
        </w:rPr>
      </w:pPr>
      <w:r w:rsidRPr="00E45DDD">
        <w:rPr>
          <w:rFonts w:eastAsia="Arial" w:cstheme="minorHAnsi"/>
          <w:b/>
          <w:sz w:val="24"/>
          <w:szCs w:val="24"/>
        </w:rPr>
        <w:t>INTRODUCCIÓN</w:t>
      </w:r>
    </w:p>
    <w:p w:rsidR="00E131C8" w:rsidRPr="00E45DDD" w:rsidRDefault="00E131C8" w:rsidP="00E131C8">
      <w:pPr>
        <w:spacing w:before="240" w:line="360" w:lineRule="auto"/>
        <w:jc w:val="both"/>
        <w:rPr>
          <w:rFonts w:cstheme="minorHAnsi"/>
          <w:sz w:val="24"/>
          <w:szCs w:val="24"/>
        </w:rPr>
      </w:pPr>
      <w:r w:rsidRPr="00E45DDD">
        <w:rPr>
          <w:rFonts w:cstheme="minorHAnsi"/>
          <w:sz w:val="24"/>
          <w:szCs w:val="24"/>
        </w:rPr>
        <w:t>Si bien en la actualidad, se ha avanzado en abordaje clínico y las posibilidades terapéuticas de la insuficiencia cardiaca, no podemos eludir que se ha convertido en un gran problema de salud pública en el mundo; ya sea por su creciente prevalencia, como por el costo que implica el tratamiento adecuado a más de 20 millones de pacientes que padecen esta enfermedad.</w:t>
      </w:r>
      <w:r w:rsidRPr="00E45DDD">
        <w:rPr>
          <w:rFonts w:cstheme="minorHAnsi"/>
          <w:b/>
          <w:sz w:val="24"/>
          <w:szCs w:val="24"/>
          <w:vertAlign w:val="superscript"/>
        </w:rPr>
        <w:t>1</w:t>
      </w:r>
    </w:p>
    <w:p w:rsidR="00E131C8" w:rsidRPr="00E45DDD" w:rsidRDefault="00E131C8" w:rsidP="00E131C8">
      <w:pPr>
        <w:spacing w:before="240" w:line="360" w:lineRule="auto"/>
        <w:jc w:val="both"/>
        <w:rPr>
          <w:rFonts w:cstheme="minorHAnsi"/>
          <w:sz w:val="24"/>
          <w:szCs w:val="24"/>
        </w:rPr>
      </w:pPr>
      <w:r w:rsidRPr="00E45DDD">
        <w:rPr>
          <w:rFonts w:cstheme="minorHAnsi"/>
          <w:sz w:val="24"/>
          <w:szCs w:val="24"/>
        </w:rPr>
        <w:lastRenderedPageBreak/>
        <w:t>La disfunción cardiaca es la razón de 12 a 15 millones de visitas al médico, de 6,5 millones de días de hospitalización, además de representar del 2 al 3% de los ingresos hospitalarios.</w:t>
      </w:r>
      <w:r w:rsidR="00E03F6B">
        <w:rPr>
          <w:rFonts w:cstheme="minorHAnsi"/>
          <w:sz w:val="24"/>
          <w:szCs w:val="24"/>
        </w:rPr>
        <w:t xml:space="preserve"> </w:t>
      </w:r>
      <w:proofErr w:type="gramStart"/>
      <w:r w:rsidR="00E03F6B" w:rsidRPr="00E131C8">
        <w:rPr>
          <w:rFonts w:eastAsia="Arial" w:cstheme="minorHAnsi"/>
          <w:i/>
          <w:sz w:val="24"/>
          <w:szCs w:val="24"/>
        </w:rPr>
        <w:t>et</w:t>
      </w:r>
      <w:proofErr w:type="gramEnd"/>
      <w:r w:rsidR="00E03F6B" w:rsidRPr="00E131C8">
        <w:rPr>
          <w:rFonts w:eastAsia="Arial" w:cstheme="minorHAnsi"/>
          <w:i/>
          <w:sz w:val="24"/>
          <w:szCs w:val="24"/>
        </w:rPr>
        <w:t xml:space="preserve"> al.</w:t>
      </w:r>
      <w:r w:rsidRPr="00E45DDD">
        <w:rPr>
          <w:rFonts w:cstheme="minorHAnsi"/>
          <w:b/>
          <w:sz w:val="24"/>
          <w:szCs w:val="24"/>
          <w:vertAlign w:val="superscript"/>
        </w:rPr>
        <w:t>2</w:t>
      </w:r>
    </w:p>
    <w:p w:rsidR="00E131C8" w:rsidRPr="00E45DDD" w:rsidRDefault="00E131C8" w:rsidP="00E131C8">
      <w:pPr>
        <w:spacing w:before="240" w:line="360" w:lineRule="auto"/>
        <w:jc w:val="both"/>
        <w:rPr>
          <w:rFonts w:cstheme="minorHAnsi"/>
          <w:sz w:val="24"/>
          <w:szCs w:val="24"/>
        </w:rPr>
      </w:pPr>
      <w:r w:rsidRPr="00E45DDD">
        <w:rPr>
          <w:rFonts w:cstheme="minorHAnsi"/>
          <w:sz w:val="24"/>
          <w:szCs w:val="24"/>
        </w:rPr>
        <w:t>En Cuba la prevalencia de la insuficiencia cardiaca se estima entre 1,5 a 2% de la población general, aumentando progresivamente a partir de los 65 años de un 6 a 10% en este grupo de pacientes sin tratamiento efectivo; asimismo, la tasa de mortalidad oscila entre 5 y un 10% en pacientes con síntomas leves y aumenta de 30 a un 50 % en los graves, ocurriendo 974 defunciones en pacientes masculinos y 967 en féminas, en el año 2018.</w:t>
      </w:r>
      <w:r w:rsidRPr="00E45DDD">
        <w:rPr>
          <w:rFonts w:cstheme="minorHAnsi"/>
          <w:b/>
          <w:sz w:val="24"/>
          <w:szCs w:val="24"/>
          <w:vertAlign w:val="superscript"/>
        </w:rPr>
        <w:t>3</w:t>
      </w:r>
    </w:p>
    <w:p w:rsidR="00E131C8" w:rsidRPr="00E45DDD" w:rsidRDefault="00E131C8" w:rsidP="00E131C8">
      <w:pPr>
        <w:spacing w:before="240" w:line="360" w:lineRule="auto"/>
        <w:jc w:val="both"/>
        <w:rPr>
          <w:rFonts w:cstheme="minorHAnsi"/>
          <w:sz w:val="24"/>
          <w:szCs w:val="24"/>
        </w:rPr>
      </w:pPr>
      <w:r w:rsidRPr="00E45DDD">
        <w:rPr>
          <w:rFonts w:cstheme="minorHAnsi"/>
          <w:sz w:val="24"/>
          <w:szCs w:val="24"/>
        </w:rPr>
        <w:t>En la provincia de Santiago de Cuba, la tasa de mortalidad por insuficiencia cardiaca, en el año 2018 fue de 158,9 por 100 000 habitantes. El Hospital Provincial Saturnino Lora ingresó 310 pacientes con el diagnóstico de insuficiencia cardiaca durante el año 2018, de ellos fallecieron 35, para un 11,29%.</w:t>
      </w:r>
    </w:p>
    <w:p w:rsidR="00E131C8" w:rsidRPr="00E45DDD" w:rsidRDefault="00E131C8" w:rsidP="00E131C8">
      <w:pPr>
        <w:spacing w:before="240" w:line="360" w:lineRule="auto"/>
        <w:jc w:val="both"/>
        <w:rPr>
          <w:rFonts w:cstheme="minorHAnsi"/>
          <w:sz w:val="24"/>
          <w:szCs w:val="24"/>
        </w:rPr>
      </w:pPr>
      <w:r w:rsidRPr="00E45DDD">
        <w:rPr>
          <w:rFonts w:cstheme="minorHAnsi"/>
          <w:sz w:val="24"/>
          <w:szCs w:val="24"/>
        </w:rPr>
        <w:t>En la actualidad el diagnóstico clínico de la insuficiencia cardiaca se establece a partir de criterios diagnósticos de Framingham</w:t>
      </w:r>
      <w:r w:rsidRPr="00E45DDD">
        <w:rPr>
          <w:rFonts w:cstheme="minorHAnsi"/>
          <w:sz w:val="24"/>
          <w:szCs w:val="24"/>
          <w:vertAlign w:val="superscript"/>
        </w:rPr>
        <w:t>7</w:t>
      </w:r>
      <w:r w:rsidRPr="00E45DDD">
        <w:rPr>
          <w:rFonts w:eastAsia="Arial" w:cstheme="minorHAnsi"/>
          <w:sz w:val="24"/>
          <w:szCs w:val="24"/>
        </w:rPr>
        <w:t xml:space="preserve">, los cuales se dividen en mayores y menores, debiéndose cumplir dos criterios mayores; o dos menores y uno mayor. </w:t>
      </w:r>
    </w:p>
    <w:p w:rsidR="00E131C8" w:rsidRPr="00E45DDD" w:rsidRDefault="00E131C8" w:rsidP="00E131C8">
      <w:pPr>
        <w:spacing w:before="240" w:line="360" w:lineRule="auto"/>
        <w:jc w:val="both"/>
        <w:rPr>
          <w:rFonts w:cstheme="minorHAnsi"/>
          <w:sz w:val="24"/>
          <w:szCs w:val="24"/>
        </w:rPr>
      </w:pPr>
      <w:r w:rsidRPr="00E45DDD">
        <w:rPr>
          <w:rFonts w:cstheme="minorHAnsi"/>
          <w:sz w:val="24"/>
          <w:szCs w:val="24"/>
        </w:rPr>
        <w:t xml:space="preserve">Mejorar el diagnóstico y el cuidado de los pacientes con insuficiencia cardiaca es, por consiguiente, un factor de gran impacto en la morbilidad, la mortalidad y el costo sanitario. En este contexto, la concentración plasmática de ciertos péptidos </w:t>
      </w:r>
      <w:proofErr w:type="spellStart"/>
      <w:r w:rsidRPr="00E45DDD">
        <w:rPr>
          <w:rFonts w:cstheme="minorHAnsi"/>
          <w:sz w:val="24"/>
          <w:szCs w:val="24"/>
        </w:rPr>
        <w:t>natriuréticos</w:t>
      </w:r>
      <w:proofErr w:type="spellEnd"/>
      <w:r w:rsidRPr="00E45DDD">
        <w:rPr>
          <w:rFonts w:cstheme="minorHAnsi"/>
          <w:sz w:val="24"/>
          <w:szCs w:val="24"/>
        </w:rPr>
        <w:t xml:space="preserve"> puede ser de ayuda en el proceso diagnóstico.</w:t>
      </w:r>
    </w:p>
    <w:p w:rsidR="00E131C8" w:rsidRPr="00E45DDD" w:rsidRDefault="00E131C8" w:rsidP="00E131C8">
      <w:pPr>
        <w:spacing w:before="240" w:line="360" w:lineRule="auto"/>
        <w:jc w:val="both"/>
        <w:rPr>
          <w:rFonts w:cstheme="minorHAnsi"/>
          <w:sz w:val="24"/>
          <w:szCs w:val="24"/>
        </w:rPr>
      </w:pPr>
      <w:r w:rsidRPr="00E45DDD">
        <w:rPr>
          <w:rFonts w:cstheme="minorHAnsi"/>
          <w:sz w:val="24"/>
          <w:szCs w:val="24"/>
        </w:rPr>
        <w:t xml:space="preserve">Actualmente se dispone de los péptidos </w:t>
      </w:r>
      <w:proofErr w:type="spellStart"/>
      <w:r w:rsidRPr="00E45DDD">
        <w:rPr>
          <w:rFonts w:cstheme="minorHAnsi"/>
          <w:sz w:val="24"/>
          <w:szCs w:val="24"/>
        </w:rPr>
        <w:t>natriuréticos</w:t>
      </w:r>
      <w:proofErr w:type="spellEnd"/>
      <w:r w:rsidRPr="00E45DDD">
        <w:rPr>
          <w:rFonts w:cstheme="minorHAnsi"/>
          <w:sz w:val="24"/>
          <w:szCs w:val="24"/>
        </w:rPr>
        <w:t xml:space="preserve"> (el péptido </w:t>
      </w:r>
      <w:proofErr w:type="spellStart"/>
      <w:r w:rsidRPr="00E45DDD">
        <w:rPr>
          <w:rFonts w:cstheme="minorHAnsi"/>
          <w:sz w:val="24"/>
          <w:szCs w:val="24"/>
        </w:rPr>
        <w:t>natriuréticos</w:t>
      </w:r>
      <w:proofErr w:type="spellEnd"/>
      <w:r w:rsidRPr="00E45DDD">
        <w:rPr>
          <w:rFonts w:cstheme="minorHAnsi"/>
          <w:sz w:val="24"/>
          <w:szCs w:val="24"/>
        </w:rPr>
        <w:t xml:space="preserve"> tipo B [BNP] y su fracción N-terminal [NT-</w:t>
      </w:r>
      <w:proofErr w:type="spellStart"/>
      <w:r w:rsidRPr="00E45DDD">
        <w:rPr>
          <w:rFonts w:cstheme="minorHAnsi"/>
          <w:sz w:val="24"/>
          <w:szCs w:val="24"/>
        </w:rPr>
        <w:t>proBNP</w:t>
      </w:r>
      <w:proofErr w:type="spellEnd"/>
      <w:r w:rsidRPr="00E45DDD">
        <w:rPr>
          <w:rFonts w:cstheme="minorHAnsi"/>
          <w:sz w:val="24"/>
          <w:szCs w:val="24"/>
        </w:rPr>
        <w:t xml:space="preserve">]), biomarcadores que facilitan la evaluación clínica del paciente, gracias a una determinación sencilla y rápida, ya sea en sangre venosa o en orina, facilitando la selección de los candidatos a un </w:t>
      </w:r>
      <w:proofErr w:type="spellStart"/>
      <w:r w:rsidRPr="00E45DDD">
        <w:rPr>
          <w:rFonts w:cstheme="minorHAnsi"/>
          <w:sz w:val="24"/>
          <w:szCs w:val="24"/>
        </w:rPr>
        <w:t>ecocardiograma</w:t>
      </w:r>
      <w:proofErr w:type="spellEnd"/>
      <w:r w:rsidRPr="00E45DDD">
        <w:rPr>
          <w:rFonts w:cstheme="minorHAnsi"/>
          <w:sz w:val="24"/>
          <w:szCs w:val="24"/>
        </w:rPr>
        <w:t xml:space="preserve"> confirmatorio o descartando razonablemente la orientación inicial de insuficiencia cardiaca.</w:t>
      </w:r>
      <w:r w:rsidRPr="00E45DDD">
        <w:rPr>
          <w:rFonts w:cstheme="minorHAnsi"/>
          <w:b/>
          <w:sz w:val="24"/>
          <w:szCs w:val="24"/>
          <w:vertAlign w:val="superscript"/>
        </w:rPr>
        <w:t>8</w:t>
      </w:r>
    </w:p>
    <w:p w:rsidR="00E131C8" w:rsidRPr="00E45DDD" w:rsidRDefault="00E131C8" w:rsidP="00E131C8">
      <w:pPr>
        <w:shd w:val="clear" w:color="auto" w:fill="FFFFFF"/>
        <w:tabs>
          <w:tab w:val="left" w:pos="425"/>
        </w:tabs>
        <w:spacing w:before="240" w:after="0" w:line="360" w:lineRule="auto"/>
        <w:jc w:val="both"/>
        <w:rPr>
          <w:rFonts w:eastAsia="Arial" w:cstheme="minorHAnsi"/>
          <w:b/>
          <w:sz w:val="24"/>
          <w:szCs w:val="24"/>
        </w:rPr>
      </w:pPr>
      <w:r w:rsidRPr="00E45DDD">
        <w:rPr>
          <w:rFonts w:cstheme="minorHAnsi"/>
          <w:color w:val="000000"/>
          <w:sz w:val="24"/>
          <w:szCs w:val="24"/>
          <w:lang w:val="es-US"/>
        </w:rPr>
        <w:lastRenderedPageBreak/>
        <w:t>Por ello</w:t>
      </w:r>
      <w:r>
        <w:rPr>
          <w:rFonts w:cstheme="minorHAnsi"/>
          <w:color w:val="000000"/>
          <w:sz w:val="24"/>
          <w:szCs w:val="24"/>
          <w:lang w:val="es-US"/>
        </w:rPr>
        <w:t xml:space="preserve"> </w:t>
      </w:r>
      <w:r w:rsidRPr="00E45DDD">
        <w:rPr>
          <w:rFonts w:cstheme="minorHAnsi"/>
          <w:color w:val="000000"/>
          <w:sz w:val="24"/>
          <w:szCs w:val="24"/>
          <w:lang w:val="es-US"/>
        </w:rPr>
        <w:t xml:space="preserve">la presente investigación se desarrolló con el objetivo de </w:t>
      </w:r>
      <w:r>
        <w:rPr>
          <w:rFonts w:eastAsia="Arial" w:cstheme="minorHAnsi"/>
          <w:sz w:val="24"/>
          <w:szCs w:val="24"/>
        </w:rPr>
        <w:t>c</w:t>
      </w:r>
      <w:r w:rsidRPr="00364511">
        <w:rPr>
          <w:rFonts w:eastAsia="Arial" w:cstheme="minorHAnsi"/>
          <w:sz w:val="24"/>
          <w:szCs w:val="24"/>
        </w:rPr>
        <w:t>aracterizar, desde el punto de vista epidemiológico, clínico y diagnóstico a los pacientes ingresados por insuficiencia cardiaca</w:t>
      </w:r>
      <w:r>
        <w:rPr>
          <w:rFonts w:eastAsia="Arial" w:cstheme="minorHAnsi"/>
          <w:sz w:val="24"/>
          <w:szCs w:val="24"/>
        </w:rPr>
        <w:t>.</w:t>
      </w:r>
    </w:p>
    <w:p w:rsidR="00E131C8" w:rsidRPr="00E45DDD" w:rsidRDefault="00E131C8" w:rsidP="00E131C8">
      <w:pPr>
        <w:autoSpaceDE w:val="0"/>
        <w:autoSpaceDN w:val="0"/>
        <w:adjustRightInd w:val="0"/>
        <w:spacing w:after="0" w:line="360" w:lineRule="auto"/>
        <w:jc w:val="both"/>
        <w:rPr>
          <w:rFonts w:cstheme="minorHAnsi"/>
          <w:b/>
          <w:bCs/>
          <w:iCs/>
          <w:color w:val="000000"/>
          <w:sz w:val="24"/>
          <w:szCs w:val="24"/>
          <w:lang w:val="es-US"/>
        </w:rPr>
      </w:pPr>
    </w:p>
    <w:p w:rsidR="00E131C8" w:rsidRPr="00E45DDD" w:rsidRDefault="00E131C8" w:rsidP="00E131C8">
      <w:pPr>
        <w:autoSpaceDE w:val="0"/>
        <w:autoSpaceDN w:val="0"/>
        <w:adjustRightInd w:val="0"/>
        <w:spacing w:after="0" w:line="360" w:lineRule="auto"/>
        <w:jc w:val="both"/>
        <w:rPr>
          <w:rFonts w:cstheme="minorHAnsi"/>
          <w:b/>
          <w:bCs/>
          <w:iCs/>
          <w:color w:val="000000"/>
          <w:sz w:val="24"/>
          <w:szCs w:val="24"/>
          <w:lang w:val="es-US"/>
        </w:rPr>
      </w:pPr>
      <w:r w:rsidRPr="00E45DDD">
        <w:rPr>
          <w:rFonts w:cstheme="minorHAnsi"/>
          <w:b/>
          <w:bCs/>
          <w:iCs/>
          <w:color w:val="000000"/>
          <w:sz w:val="24"/>
          <w:szCs w:val="24"/>
          <w:lang w:val="es-US"/>
        </w:rPr>
        <w:t>MÉTODO</w:t>
      </w:r>
    </w:p>
    <w:p w:rsidR="00E131C8" w:rsidRPr="00E201FA" w:rsidRDefault="00E131C8" w:rsidP="00E131C8">
      <w:pPr>
        <w:pStyle w:val="Textoindependiente"/>
        <w:spacing w:line="360" w:lineRule="auto"/>
        <w:rPr>
          <w:rFonts w:ascii="Arial" w:hAnsi="Arial" w:cs="Arial"/>
        </w:rPr>
      </w:pPr>
      <w:r w:rsidRPr="00E45DDD">
        <w:rPr>
          <w:rFonts w:asciiTheme="minorHAnsi" w:eastAsia="Arial" w:hAnsiTheme="minorHAnsi" w:cstheme="minorHAnsi"/>
          <w:szCs w:val="24"/>
        </w:rPr>
        <w:t>Se reali</w:t>
      </w:r>
      <w:r>
        <w:rPr>
          <w:rFonts w:asciiTheme="minorHAnsi" w:eastAsia="Arial" w:hAnsiTheme="minorHAnsi" w:cstheme="minorHAnsi"/>
          <w:szCs w:val="24"/>
        </w:rPr>
        <w:t>zó</w:t>
      </w:r>
      <w:r w:rsidRPr="00E45DDD">
        <w:rPr>
          <w:rFonts w:asciiTheme="minorHAnsi" w:eastAsia="Arial" w:hAnsiTheme="minorHAnsi" w:cstheme="minorHAnsi"/>
          <w:szCs w:val="24"/>
        </w:rPr>
        <w:t xml:space="preserve"> un estudio </w:t>
      </w:r>
      <w:r>
        <w:rPr>
          <w:rFonts w:asciiTheme="minorHAnsi" w:eastAsia="Arial" w:hAnsiTheme="minorHAnsi" w:cstheme="minorHAnsi"/>
          <w:szCs w:val="24"/>
        </w:rPr>
        <w:t xml:space="preserve">cuantitativo, </w:t>
      </w:r>
      <w:r w:rsidRPr="00E45DDD">
        <w:rPr>
          <w:rFonts w:asciiTheme="minorHAnsi" w:eastAsia="Arial" w:hAnsiTheme="minorHAnsi" w:cstheme="minorHAnsi"/>
          <w:szCs w:val="24"/>
        </w:rPr>
        <w:t>descriptivo,</w:t>
      </w:r>
      <w:r>
        <w:rPr>
          <w:rFonts w:asciiTheme="minorHAnsi" w:eastAsia="Arial" w:hAnsiTheme="minorHAnsi" w:cstheme="minorHAnsi"/>
          <w:szCs w:val="24"/>
        </w:rPr>
        <w:t xml:space="preserve"> transversal</w:t>
      </w:r>
      <w:r w:rsidRPr="00E45DDD">
        <w:rPr>
          <w:rFonts w:asciiTheme="minorHAnsi" w:eastAsia="Arial" w:hAnsiTheme="minorHAnsi" w:cstheme="minorHAnsi"/>
          <w:szCs w:val="24"/>
        </w:rPr>
        <w:t xml:space="preserve"> de serie de casos de los pacientes ingresados con el diagnóstico de insuficiencia cardiaca en el Servicio de Medicina Interna del Hospital Pro</w:t>
      </w:r>
      <w:r>
        <w:rPr>
          <w:rFonts w:asciiTheme="minorHAnsi" w:eastAsia="Arial" w:hAnsiTheme="minorHAnsi" w:cstheme="minorHAnsi"/>
          <w:szCs w:val="24"/>
        </w:rPr>
        <w:t xml:space="preserve">vincial Saturnino Lora </w:t>
      </w:r>
      <w:r w:rsidRPr="00E201FA">
        <w:rPr>
          <w:rFonts w:asciiTheme="minorHAnsi" w:hAnsiTheme="minorHAnsi" w:cstheme="minorHAnsi"/>
        </w:rPr>
        <w:t>desde octubre del 2018 hasta octubre del 2020.</w:t>
      </w:r>
    </w:p>
    <w:p w:rsidR="00E131C8" w:rsidRPr="00E45DDD" w:rsidRDefault="00E131C8" w:rsidP="00E131C8">
      <w:pPr>
        <w:shd w:val="clear" w:color="auto" w:fill="FFFFFF"/>
        <w:spacing w:before="240" w:after="0" w:line="360" w:lineRule="auto"/>
        <w:jc w:val="both"/>
        <w:rPr>
          <w:rFonts w:eastAsia="Arial" w:cstheme="minorHAnsi"/>
          <w:sz w:val="24"/>
          <w:szCs w:val="24"/>
        </w:rPr>
      </w:pPr>
      <w:r>
        <w:rPr>
          <w:rFonts w:eastAsia="Arial" w:cstheme="minorHAnsi"/>
          <w:sz w:val="24"/>
          <w:szCs w:val="24"/>
        </w:rPr>
        <w:t xml:space="preserve">La población </w:t>
      </w:r>
      <w:r w:rsidRPr="00E45DDD">
        <w:rPr>
          <w:rFonts w:eastAsia="Arial" w:cstheme="minorHAnsi"/>
          <w:sz w:val="24"/>
          <w:szCs w:val="24"/>
        </w:rPr>
        <w:t>estuvo integrado por los pacientes con insuficiencia cardiaca ingresados en el servicio de Medicina Interna del Hospital Provincial Saturnino Lora (N=317). La muestra se seleccionó según los pacientes que cumplieron los criterios de inclusión y los criterios clínicos y ecocardiográficos que definen el diagnóstico de la enfermedad a saber.</w:t>
      </w:r>
    </w:p>
    <w:p w:rsidR="00E131C8" w:rsidRPr="00E45DDD" w:rsidRDefault="00E131C8" w:rsidP="00E131C8">
      <w:pPr>
        <w:shd w:val="clear" w:color="auto" w:fill="FFFFFF"/>
        <w:spacing w:before="240" w:after="0" w:line="360" w:lineRule="auto"/>
        <w:jc w:val="both"/>
        <w:rPr>
          <w:rFonts w:eastAsia="Arial" w:cstheme="minorHAnsi"/>
          <w:b/>
          <w:sz w:val="24"/>
          <w:szCs w:val="24"/>
        </w:rPr>
      </w:pPr>
      <w:r w:rsidRPr="00E45DDD">
        <w:rPr>
          <w:rFonts w:eastAsia="Arial" w:cstheme="minorHAnsi"/>
          <w:b/>
          <w:sz w:val="24"/>
          <w:szCs w:val="24"/>
        </w:rPr>
        <w:t>Criterios de Inclusión:</w:t>
      </w:r>
    </w:p>
    <w:p w:rsidR="00E131C8" w:rsidRPr="00E45DDD" w:rsidRDefault="00E131C8" w:rsidP="00E131C8">
      <w:pPr>
        <w:pStyle w:val="Prrafodelista"/>
        <w:numPr>
          <w:ilvl w:val="0"/>
          <w:numId w:val="1"/>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Diagnóstico positivo de insuficiencia cardiaca sustentado en los criterios clínicos y ecocardiográficos.</w:t>
      </w:r>
    </w:p>
    <w:p w:rsidR="00E131C8" w:rsidRPr="00E45DDD" w:rsidRDefault="00E131C8" w:rsidP="00E131C8">
      <w:pPr>
        <w:pStyle w:val="Prrafodelista"/>
        <w:numPr>
          <w:ilvl w:val="0"/>
          <w:numId w:val="1"/>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Edad superior a los 18 años, sin distinción de género, ni de color de la piel.</w:t>
      </w:r>
    </w:p>
    <w:p w:rsidR="00E131C8" w:rsidRPr="00E45DDD" w:rsidRDefault="00E131C8" w:rsidP="00E131C8">
      <w:pPr>
        <w:shd w:val="clear" w:color="auto" w:fill="FFFFFF"/>
        <w:spacing w:before="240" w:after="0" w:line="360" w:lineRule="auto"/>
        <w:jc w:val="both"/>
        <w:rPr>
          <w:rFonts w:eastAsia="Arial" w:cstheme="minorHAnsi"/>
          <w:b/>
          <w:sz w:val="24"/>
          <w:szCs w:val="24"/>
        </w:rPr>
      </w:pPr>
      <w:r w:rsidRPr="00E45DDD">
        <w:rPr>
          <w:rFonts w:eastAsia="Arial" w:cstheme="minorHAnsi"/>
          <w:b/>
          <w:sz w:val="24"/>
          <w:szCs w:val="24"/>
        </w:rPr>
        <w:t>Criterios clínicos diagnósticos de la insuficiencia cardiaca:</w:t>
      </w:r>
    </w:p>
    <w:p w:rsidR="00E131C8" w:rsidRPr="00E45DDD" w:rsidRDefault="00E131C8" w:rsidP="00E131C8">
      <w:pPr>
        <w:shd w:val="clear" w:color="auto" w:fill="FFFFFF"/>
        <w:spacing w:before="240" w:after="0" w:line="360" w:lineRule="auto"/>
        <w:jc w:val="both"/>
        <w:rPr>
          <w:rFonts w:eastAsia="Arial" w:cstheme="minorHAnsi"/>
          <w:b/>
          <w:sz w:val="24"/>
          <w:szCs w:val="24"/>
        </w:rPr>
      </w:pPr>
      <w:r w:rsidRPr="00E45DDD">
        <w:rPr>
          <w:rFonts w:eastAsia="Arial" w:cstheme="minorHAnsi"/>
          <w:b/>
          <w:sz w:val="24"/>
          <w:szCs w:val="24"/>
        </w:rPr>
        <w:t>Criterios mayores:</w:t>
      </w:r>
    </w:p>
    <w:p w:rsidR="00E131C8" w:rsidRPr="00E45DDD" w:rsidRDefault="00E131C8" w:rsidP="00E131C8">
      <w:pPr>
        <w:pStyle w:val="Prrafodelista"/>
        <w:numPr>
          <w:ilvl w:val="0"/>
          <w:numId w:val="2"/>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Disnea paroxística nocturna.</w:t>
      </w:r>
    </w:p>
    <w:p w:rsidR="00E131C8" w:rsidRPr="00E45DDD" w:rsidRDefault="00E131C8" w:rsidP="00E131C8">
      <w:pPr>
        <w:pStyle w:val="Prrafodelista"/>
        <w:numPr>
          <w:ilvl w:val="0"/>
          <w:numId w:val="2"/>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 xml:space="preserve">Edema agudo de pulmón. </w:t>
      </w:r>
    </w:p>
    <w:p w:rsidR="00E131C8" w:rsidRPr="00E45DDD" w:rsidRDefault="00E131C8" w:rsidP="00E131C8">
      <w:pPr>
        <w:pStyle w:val="Prrafodelista"/>
        <w:numPr>
          <w:ilvl w:val="0"/>
          <w:numId w:val="2"/>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Crepitantes.</w:t>
      </w:r>
    </w:p>
    <w:p w:rsidR="00E131C8" w:rsidRPr="00E45DDD" w:rsidRDefault="00E131C8" w:rsidP="00E131C8">
      <w:pPr>
        <w:pStyle w:val="Prrafodelista"/>
        <w:numPr>
          <w:ilvl w:val="0"/>
          <w:numId w:val="2"/>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Distensión venosa yugular.</w:t>
      </w:r>
    </w:p>
    <w:p w:rsidR="00E131C8" w:rsidRPr="00E45DDD" w:rsidRDefault="00E131C8" w:rsidP="00E131C8">
      <w:pPr>
        <w:pStyle w:val="Prrafodelista"/>
        <w:numPr>
          <w:ilvl w:val="0"/>
          <w:numId w:val="2"/>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Aumento de la presión venosa (&gt;16 cm H2O).</w:t>
      </w:r>
    </w:p>
    <w:p w:rsidR="00E131C8" w:rsidRPr="00E45DDD" w:rsidRDefault="00E131C8" w:rsidP="00E131C8">
      <w:pPr>
        <w:pStyle w:val="Prrafodelista"/>
        <w:numPr>
          <w:ilvl w:val="0"/>
          <w:numId w:val="2"/>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 xml:space="preserve">Reflujo </w:t>
      </w:r>
      <w:proofErr w:type="spellStart"/>
      <w:r w:rsidRPr="00E45DDD">
        <w:rPr>
          <w:rFonts w:asciiTheme="minorHAnsi" w:eastAsia="Arial" w:hAnsiTheme="minorHAnsi" w:cstheme="minorHAnsi"/>
          <w:sz w:val="24"/>
          <w:szCs w:val="24"/>
        </w:rPr>
        <w:t>hepatoyugular</w:t>
      </w:r>
      <w:proofErr w:type="spellEnd"/>
      <w:r w:rsidRPr="00E45DDD">
        <w:rPr>
          <w:rFonts w:asciiTheme="minorHAnsi" w:eastAsia="Arial" w:hAnsiTheme="minorHAnsi" w:cstheme="minorHAnsi"/>
          <w:sz w:val="24"/>
          <w:szCs w:val="24"/>
        </w:rPr>
        <w:t xml:space="preserve"> positivo.</w:t>
      </w:r>
    </w:p>
    <w:p w:rsidR="00E131C8" w:rsidRPr="00E45DDD" w:rsidRDefault="00E131C8" w:rsidP="00E131C8">
      <w:pPr>
        <w:pStyle w:val="Prrafodelista"/>
        <w:numPr>
          <w:ilvl w:val="0"/>
          <w:numId w:val="2"/>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Ritmo de galope por tercer tono (3R).</w:t>
      </w:r>
    </w:p>
    <w:p w:rsidR="00E131C8" w:rsidRPr="00E45DDD" w:rsidRDefault="00E131C8" w:rsidP="00E131C8">
      <w:pPr>
        <w:pStyle w:val="Prrafodelista"/>
        <w:numPr>
          <w:ilvl w:val="0"/>
          <w:numId w:val="2"/>
        </w:numPr>
        <w:shd w:val="clear" w:color="auto" w:fill="FFFFFF"/>
        <w:tabs>
          <w:tab w:val="left" w:pos="420"/>
        </w:tabs>
        <w:spacing w:before="240" w:after="0" w:line="360" w:lineRule="auto"/>
        <w:ind w:left="0"/>
        <w:jc w:val="both"/>
        <w:rPr>
          <w:rFonts w:asciiTheme="minorHAnsi" w:eastAsia="Arial" w:hAnsiTheme="minorHAnsi" w:cstheme="minorHAnsi"/>
          <w:b/>
          <w:sz w:val="24"/>
          <w:szCs w:val="24"/>
        </w:rPr>
      </w:pPr>
      <w:r w:rsidRPr="00E45DDD">
        <w:rPr>
          <w:rFonts w:asciiTheme="minorHAnsi" w:eastAsia="Arial" w:hAnsiTheme="minorHAnsi" w:cstheme="minorHAnsi"/>
          <w:sz w:val="24"/>
          <w:szCs w:val="24"/>
        </w:rPr>
        <w:lastRenderedPageBreak/>
        <w:t xml:space="preserve">Cardiomegalia. </w:t>
      </w:r>
    </w:p>
    <w:p w:rsidR="00E131C8" w:rsidRPr="00E45DDD" w:rsidRDefault="00E131C8" w:rsidP="00E131C8">
      <w:pPr>
        <w:shd w:val="clear" w:color="auto" w:fill="FFFFFF"/>
        <w:spacing w:before="240" w:after="0" w:line="360" w:lineRule="auto"/>
        <w:jc w:val="both"/>
        <w:rPr>
          <w:rFonts w:eastAsia="Arial" w:cstheme="minorHAnsi"/>
          <w:b/>
          <w:sz w:val="24"/>
          <w:szCs w:val="24"/>
        </w:rPr>
      </w:pPr>
      <w:r w:rsidRPr="00E45DDD">
        <w:rPr>
          <w:rFonts w:eastAsia="Arial" w:cstheme="minorHAnsi"/>
          <w:b/>
          <w:sz w:val="24"/>
          <w:szCs w:val="24"/>
        </w:rPr>
        <w:t>Criterios menores:</w:t>
      </w:r>
    </w:p>
    <w:p w:rsidR="00E131C8" w:rsidRPr="00E45DDD" w:rsidRDefault="00E131C8" w:rsidP="00E131C8">
      <w:pPr>
        <w:pStyle w:val="Prrafodelista"/>
        <w:numPr>
          <w:ilvl w:val="0"/>
          <w:numId w:val="3"/>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Disnea de esfuerzo.</w:t>
      </w:r>
    </w:p>
    <w:p w:rsidR="00E131C8" w:rsidRPr="00E45DDD" w:rsidRDefault="00E131C8" w:rsidP="00E131C8">
      <w:pPr>
        <w:pStyle w:val="Prrafodelista"/>
        <w:numPr>
          <w:ilvl w:val="0"/>
          <w:numId w:val="3"/>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Edema en miembros inferiores.</w:t>
      </w:r>
    </w:p>
    <w:p w:rsidR="00E131C8" w:rsidRPr="00E45DDD" w:rsidRDefault="00E131C8" w:rsidP="00E131C8">
      <w:pPr>
        <w:pStyle w:val="Prrafodelista"/>
        <w:numPr>
          <w:ilvl w:val="0"/>
          <w:numId w:val="3"/>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Tos nocturna.</w:t>
      </w:r>
    </w:p>
    <w:p w:rsidR="00E131C8" w:rsidRPr="00E45DDD" w:rsidRDefault="00E131C8" w:rsidP="00E131C8">
      <w:pPr>
        <w:pStyle w:val="Prrafodelista"/>
        <w:numPr>
          <w:ilvl w:val="0"/>
          <w:numId w:val="3"/>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Derrame pleural.</w:t>
      </w:r>
    </w:p>
    <w:p w:rsidR="00E131C8" w:rsidRPr="00E45DDD" w:rsidRDefault="00E131C8" w:rsidP="00E131C8">
      <w:pPr>
        <w:pStyle w:val="Prrafodelista"/>
        <w:numPr>
          <w:ilvl w:val="0"/>
          <w:numId w:val="3"/>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Capacidad vital disminuida en un tercio.</w:t>
      </w:r>
    </w:p>
    <w:p w:rsidR="00E131C8" w:rsidRPr="00E45DDD" w:rsidRDefault="00E131C8" w:rsidP="00E131C8">
      <w:pPr>
        <w:pStyle w:val="Prrafodelista"/>
        <w:numPr>
          <w:ilvl w:val="0"/>
          <w:numId w:val="3"/>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Hepatomegalia.</w:t>
      </w:r>
    </w:p>
    <w:p w:rsidR="00E131C8" w:rsidRPr="00E45DDD" w:rsidRDefault="00E131C8" w:rsidP="00E131C8">
      <w:pPr>
        <w:pStyle w:val="Prrafodelista"/>
        <w:numPr>
          <w:ilvl w:val="0"/>
          <w:numId w:val="3"/>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Taquicardia mayor de 120 l/pm.</w:t>
      </w:r>
    </w:p>
    <w:p w:rsidR="00E131C8" w:rsidRPr="00E45DDD" w:rsidRDefault="00E131C8" w:rsidP="00E131C8">
      <w:pPr>
        <w:shd w:val="clear" w:color="auto" w:fill="FFFFFF"/>
        <w:spacing w:before="240" w:after="0" w:line="360" w:lineRule="auto"/>
        <w:jc w:val="both"/>
        <w:rPr>
          <w:rFonts w:eastAsia="Arial" w:cstheme="minorHAnsi"/>
          <w:b/>
          <w:sz w:val="24"/>
          <w:szCs w:val="24"/>
        </w:rPr>
      </w:pPr>
      <w:r w:rsidRPr="00E45DDD">
        <w:rPr>
          <w:rFonts w:eastAsia="Arial" w:cstheme="minorHAnsi"/>
          <w:b/>
          <w:sz w:val="24"/>
          <w:szCs w:val="24"/>
        </w:rPr>
        <w:t xml:space="preserve">Criterio mixto: </w:t>
      </w:r>
    </w:p>
    <w:p w:rsidR="00E131C8" w:rsidRPr="00E45DDD" w:rsidRDefault="00E131C8" w:rsidP="00E131C8">
      <w:pPr>
        <w:pStyle w:val="Prrafodelista"/>
        <w:numPr>
          <w:ilvl w:val="0"/>
          <w:numId w:val="4"/>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Adelgazamiento de 4.5 Kg después de 5 días de tratamiento.</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Para establecer el diagnóstico de insuficiencia cardiaca debe de cumplir dos criterios mayores o un criterio mayor y dos criterios menores.</w:t>
      </w:r>
    </w:p>
    <w:p w:rsidR="00E131C8" w:rsidRPr="00E45DDD" w:rsidRDefault="00E131C8" w:rsidP="00E131C8">
      <w:pPr>
        <w:shd w:val="clear" w:color="auto" w:fill="FFFFFF"/>
        <w:spacing w:before="240" w:after="0" w:line="360" w:lineRule="auto"/>
        <w:jc w:val="both"/>
        <w:rPr>
          <w:rFonts w:eastAsia="Arial" w:cstheme="minorHAnsi"/>
          <w:b/>
          <w:sz w:val="24"/>
          <w:szCs w:val="24"/>
        </w:rPr>
      </w:pPr>
      <w:r w:rsidRPr="00E45DDD">
        <w:rPr>
          <w:rFonts w:eastAsia="Arial" w:cstheme="minorHAnsi"/>
          <w:b/>
          <w:sz w:val="24"/>
          <w:szCs w:val="24"/>
        </w:rPr>
        <w:t xml:space="preserve">Criterios ecocardiográficos diagnósticos de la insuficiencia cardiaca: </w:t>
      </w:r>
    </w:p>
    <w:p w:rsidR="00E131C8" w:rsidRPr="00E45DDD" w:rsidRDefault="00E131C8" w:rsidP="00E131C8">
      <w:pPr>
        <w:pStyle w:val="Prrafodelista"/>
        <w:numPr>
          <w:ilvl w:val="0"/>
          <w:numId w:val="4"/>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 xml:space="preserve">Disfunción sistólica ventricular apoyada en una fracción de eyección por debajo de un 45%. </w:t>
      </w:r>
    </w:p>
    <w:p w:rsidR="00E131C8" w:rsidRPr="00E45DDD" w:rsidRDefault="00E131C8" w:rsidP="00E131C8">
      <w:pPr>
        <w:pStyle w:val="Prrafodelista"/>
        <w:numPr>
          <w:ilvl w:val="0"/>
          <w:numId w:val="4"/>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Dilatación del ventrículo izquierdo.</w:t>
      </w:r>
    </w:p>
    <w:p w:rsidR="00E131C8" w:rsidRPr="00E45DDD" w:rsidRDefault="00E131C8" w:rsidP="00E131C8">
      <w:pPr>
        <w:pStyle w:val="Prrafodelista"/>
        <w:numPr>
          <w:ilvl w:val="0"/>
          <w:numId w:val="4"/>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Alteración inequívoca de los índices de función diastólica.</w:t>
      </w:r>
    </w:p>
    <w:p w:rsidR="00E131C8" w:rsidRPr="00E45DDD" w:rsidRDefault="00E131C8" w:rsidP="00E131C8">
      <w:pPr>
        <w:pStyle w:val="Prrafodelista"/>
        <w:numPr>
          <w:ilvl w:val="0"/>
          <w:numId w:val="4"/>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Disfunción diastólica con fracción de eyección normal o poca alterada por debajo de un 45%.</w:t>
      </w:r>
    </w:p>
    <w:p w:rsidR="00E131C8" w:rsidRPr="00E45DDD" w:rsidRDefault="00E131C8" w:rsidP="00E131C8">
      <w:pPr>
        <w:pStyle w:val="Prrafodelista"/>
        <w:numPr>
          <w:ilvl w:val="0"/>
          <w:numId w:val="4"/>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Evidencia de cardiopatía capaz de comprometer la diástole.</w:t>
      </w:r>
    </w:p>
    <w:p w:rsidR="00E131C8" w:rsidRPr="00E45DDD" w:rsidRDefault="00E131C8" w:rsidP="00E131C8">
      <w:pPr>
        <w:shd w:val="clear" w:color="auto" w:fill="FFFFFF"/>
        <w:spacing w:before="240" w:after="0" w:line="360" w:lineRule="auto"/>
        <w:jc w:val="both"/>
        <w:rPr>
          <w:rFonts w:eastAsia="Arial" w:cstheme="minorHAnsi"/>
          <w:b/>
          <w:sz w:val="24"/>
          <w:szCs w:val="24"/>
        </w:rPr>
      </w:pPr>
      <w:r w:rsidRPr="00E45DDD">
        <w:rPr>
          <w:rFonts w:eastAsia="Arial" w:cstheme="minorHAnsi"/>
          <w:b/>
          <w:sz w:val="24"/>
          <w:szCs w:val="24"/>
        </w:rPr>
        <w:t>Criterios de exclusión:</w:t>
      </w:r>
    </w:p>
    <w:p w:rsidR="00E131C8" w:rsidRPr="00E45DDD" w:rsidRDefault="00E131C8" w:rsidP="00E131C8">
      <w:pPr>
        <w:pStyle w:val="Prrafodelista"/>
        <w:numPr>
          <w:ilvl w:val="0"/>
          <w:numId w:val="5"/>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Pacientes que no se le realizaron determinaciones del Pro-BNP al ingreso y al egreso.</w:t>
      </w:r>
    </w:p>
    <w:p w:rsidR="00E131C8" w:rsidRPr="00E45DDD" w:rsidRDefault="00E131C8" w:rsidP="00E131C8">
      <w:pPr>
        <w:pStyle w:val="Prrafodelista"/>
        <w:numPr>
          <w:ilvl w:val="0"/>
          <w:numId w:val="5"/>
        </w:numPr>
        <w:shd w:val="clear" w:color="auto" w:fill="FFFFFF"/>
        <w:tabs>
          <w:tab w:val="left" w:pos="420"/>
        </w:tabs>
        <w:spacing w:before="240" w:after="0" w:line="360" w:lineRule="auto"/>
        <w:ind w:left="0"/>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Pacientes que no aprobaron su consentimiento para formar parte de la investigación.</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lastRenderedPageBreak/>
        <w:t xml:space="preserve">De esta manera quedó conformada la muestra con un total de 25 pacientes, a los cuales luego de </w:t>
      </w:r>
      <w:r>
        <w:rPr>
          <w:rFonts w:eastAsia="Arial" w:cstheme="minorHAnsi"/>
          <w:sz w:val="24"/>
          <w:szCs w:val="24"/>
        </w:rPr>
        <w:t>haber sido recogido</w:t>
      </w:r>
      <w:r w:rsidRPr="00E45DDD">
        <w:rPr>
          <w:rFonts w:eastAsia="Arial" w:cstheme="minorHAnsi"/>
          <w:sz w:val="24"/>
          <w:szCs w:val="24"/>
        </w:rPr>
        <w:t xml:space="preserve"> el consentimiento informado, </w:t>
      </w:r>
      <w:r>
        <w:rPr>
          <w:rFonts w:eastAsia="Arial" w:cstheme="minorHAnsi"/>
          <w:sz w:val="24"/>
          <w:szCs w:val="24"/>
        </w:rPr>
        <w:t>fue llenada la</w:t>
      </w:r>
      <w:r w:rsidRPr="00E45DDD">
        <w:rPr>
          <w:rFonts w:eastAsia="Arial" w:cstheme="minorHAnsi"/>
          <w:sz w:val="24"/>
          <w:szCs w:val="24"/>
        </w:rPr>
        <w:t xml:space="preserve"> planilla de vaciamiento de datos, acorde a las variables estudiadas en la presente investigación.</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cstheme="minorHAnsi"/>
          <w:bCs/>
          <w:color w:val="000000"/>
          <w:sz w:val="24"/>
          <w:szCs w:val="24"/>
          <w:lang w:val="es-US"/>
        </w:rPr>
        <w:t xml:space="preserve">Las variables estudiadas fueron: Edad, Sexo, </w:t>
      </w:r>
      <w:r w:rsidRPr="00E45DDD">
        <w:rPr>
          <w:rFonts w:eastAsia="Arial" w:cstheme="minorHAnsi"/>
          <w:sz w:val="24"/>
          <w:szCs w:val="24"/>
        </w:rPr>
        <w:t xml:space="preserve">Factores de riesgo, Causas de la insuficiencia cardiaca (cardiopatía isquémica, cardiopatía hipertensiva, </w:t>
      </w:r>
      <w:proofErr w:type="spellStart"/>
      <w:r w:rsidRPr="00E45DDD">
        <w:rPr>
          <w:rFonts w:eastAsia="Arial" w:cstheme="minorHAnsi"/>
          <w:sz w:val="24"/>
          <w:szCs w:val="24"/>
        </w:rPr>
        <w:t>cardioesclerosis</w:t>
      </w:r>
      <w:proofErr w:type="spellEnd"/>
      <w:r w:rsidRPr="00E45DDD">
        <w:rPr>
          <w:rFonts w:eastAsia="Arial" w:cstheme="minorHAnsi"/>
          <w:sz w:val="24"/>
          <w:szCs w:val="24"/>
        </w:rPr>
        <w:t xml:space="preserve"> y </w:t>
      </w:r>
      <w:proofErr w:type="spellStart"/>
      <w:r w:rsidRPr="00E45DDD">
        <w:rPr>
          <w:rFonts w:eastAsia="Arial" w:cstheme="minorHAnsi"/>
          <w:sz w:val="24"/>
          <w:szCs w:val="24"/>
        </w:rPr>
        <w:t>miocardiopatías</w:t>
      </w:r>
      <w:proofErr w:type="spellEnd"/>
      <w:r w:rsidRPr="00E45DDD">
        <w:rPr>
          <w:rFonts w:eastAsia="Arial" w:cstheme="minorHAnsi"/>
          <w:sz w:val="24"/>
          <w:szCs w:val="24"/>
        </w:rPr>
        <w:t xml:space="preserve">),  Valor del Pro-BPN (PNB por debajo de 100 </w:t>
      </w:r>
      <w:proofErr w:type="spellStart"/>
      <w:r w:rsidRPr="00E45DDD">
        <w:rPr>
          <w:rFonts w:eastAsia="Arial" w:cstheme="minorHAnsi"/>
          <w:sz w:val="24"/>
          <w:szCs w:val="24"/>
        </w:rPr>
        <w:t>pg</w:t>
      </w:r>
      <w:proofErr w:type="spellEnd"/>
      <w:r w:rsidRPr="00E45DDD">
        <w:rPr>
          <w:rFonts w:eastAsia="Arial" w:cstheme="minorHAnsi"/>
          <w:sz w:val="24"/>
          <w:szCs w:val="24"/>
        </w:rPr>
        <w:t xml:space="preserve">/ml indica no hay insuficiencia cardiaca, PNB de 101 a 300 </w:t>
      </w:r>
      <w:proofErr w:type="spellStart"/>
      <w:r w:rsidRPr="00E45DDD">
        <w:rPr>
          <w:rFonts w:eastAsia="Arial" w:cstheme="minorHAnsi"/>
          <w:sz w:val="24"/>
          <w:szCs w:val="24"/>
        </w:rPr>
        <w:t>pg</w:t>
      </w:r>
      <w:proofErr w:type="spellEnd"/>
      <w:r w:rsidRPr="00E45DDD">
        <w:rPr>
          <w:rFonts w:eastAsia="Arial" w:cstheme="minorHAnsi"/>
          <w:sz w:val="24"/>
          <w:szCs w:val="24"/>
        </w:rPr>
        <w:t xml:space="preserve">/ml indica insuficiencia cardiaca ligera, PNB de 301 a 600 </w:t>
      </w:r>
      <w:proofErr w:type="spellStart"/>
      <w:r w:rsidRPr="00E45DDD">
        <w:rPr>
          <w:rFonts w:eastAsia="Arial" w:cstheme="minorHAnsi"/>
          <w:sz w:val="24"/>
          <w:szCs w:val="24"/>
        </w:rPr>
        <w:t>pg</w:t>
      </w:r>
      <w:proofErr w:type="spellEnd"/>
      <w:r w:rsidRPr="00E45DDD">
        <w:rPr>
          <w:rFonts w:eastAsia="Arial" w:cstheme="minorHAnsi"/>
          <w:sz w:val="24"/>
          <w:szCs w:val="24"/>
        </w:rPr>
        <w:t xml:space="preserve">/ml indica insuficiencia cardiaca moderada, PNB de 601 a 900 </w:t>
      </w:r>
      <w:proofErr w:type="spellStart"/>
      <w:r w:rsidRPr="00E45DDD">
        <w:rPr>
          <w:rFonts w:eastAsia="Arial" w:cstheme="minorHAnsi"/>
          <w:sz w:val="24"/>
          <w:szCs w:val="24"/>
        </w:rPr>
        <w:t>pg</w:t>
      </w:r>
      <w:proofErr w:type="spellEnd"/>
      <w:r w:rsidRPr="00E45DDD">
        <w:rPr>
          <w:rFonts w:eastAsia="Arial" w:cstheme="minorHAnsi"/>
          <w:sz w:val="24"/>
          <w:szCs w:val="24"/>
        </w:rPr>
        <w:t xml:space="preserve">/ml indica insuficiencia cardiaca grave y PNB mayor o igual a 901 </w:t>
      </w:r>
      <w:proofErr w:type="spellStart"/>
      <w:r w:rsidRPr="00E45DDD">
        <w:rPr>
          <w:rFonts w:eastAsia="Arial" w:cstheme="minorHAnsi"/>
          <w:sz w:val="24"/>
          <w:szCs w:val="24"/>
        </w:rPr>
        <w:t>pg</w:t>
      </w:r>
      <w:proofErr w:type="spellEnd"/>
      <w:r w:rsidRPr="00E45DDD">
        <w:rPr>
          <w:rFonts w:eastAsia="Arial" w:cstheme="minorHAnsi"/>
          <w:sz w:val="24"/>
          <w:szCs w:val="24"/>
        </w:rPr>
        <w:t xml:space="preserve">/ml indica insuficiencia cardiaca muy grave),  Presencia de correlación entre el diagnóstico clínico y </w:t>
      </w:r>
      <w:proofErr w:type="spellStart"/>
      <w:r w:rsidRPr="00E45DDD">
        <w:rPr>
          <w:rFonts w:eastAsia="Arial" w:cstheme="minorHAnsi"/>
          <w:sz w:val="24"/>
          <w:szCs w:val="24"/>
        </w:rPr>
        <w:t>ecocardiográfico</w:t>
      </w:r>
      <w:proofErr w:type="spellEnd"/>
      <w:r w:rsidRPr="00E45DDD">
        <w:rPr>
          <w:rFonts w:eastAsia="Arial" w:cstheme="minorHAnsi"/>
          <w:sz w:val="24"/>
          <w:szCs w:val="24"/>
        </w:rPr>
        <w:t xml:space="preserve"> de insuficiencia cardiaca y el valor del Pro-BNP y Estado al egreso (Vivo o Fallecido).</w:t>
      </w:r>
    </w:p>
    <w:p w:rsidR="00E131C8" w:rsidRPr="00E45DDD" w:rsidRDefault="00E131C8" w:rsidP="00E131C8">
      <w:pPr>
        <w:spacing w:after="80" w:line="360" w:lineRule="auto"/>
        <w:jc w:val="both"/>
        <w:rPr>
          <w:rFonts w:cstheme="minorHAnsi"/>
          <w:sz w:val="24"/>
          <w:szCs w:val="24"/>
          <w:lang w:val="es-US"/>
        </w:rPr>
      </w:pPr>
      <w:r w:rsidRPr="00E45DDD">
        <w:rPr>
          <w:rFonts w:eastAsia="Times New Roman" w:cstheme="minorHAnsi"/>
          <w:b/>
          <w:sz w:val="24"/>
          <w:szCs w:val="24"/>
          <w:lang w:val="es-ES_tradnl"/>
        </w:rPr>
        <w:t>Procesamiento</w:t>
      </w:r>
      <w:r w:rsidR="00E03F6B">
        <w:rPr>
          <w:rFonts w:eastAsia="Times New Roman" w:cstheme="minorHAnsi"/>
          <w:b/>
          <w:sz w:val="24"/>
          <w:szCs w:val="24"/>
          <w:lang w:val="es-ES_tradnl"/>
        </w:rPr>
        <w:t xml:space="preserve"> </w:t>
      </w:r>
      <w:r w:rsidRPr="00E45DDD">
        <w:rPr>
          <w:rFonts w:eastAsia="Times New Roman" w:cstheme="minorHAnsi"/>
          <w:b/>
          <w:sz w:val="24"/>
          <w:szCs w:val="24"/>
          <w:lang w:val="es-ES_tradnl"/>
        </w:rPr>
        <w:t xml:space="preserve">estadístico </w:t>
      </w:r>
    </w:p>
    <w:p w:rsidR="00E131C8" w:rsidRPr="00E45DDD" w:rsidRDefault="00E131C8" w:rsidP="00E131C8">
      <w:pPr>
        <w:spacing w:line="360" w:lineRule="auto"/>
        <w:jc w:val="both"/>
        <w:rPr>
          <w:rFonts w:cstheme="minorHAnsi"/>
          <w:sz w:val="24"/>
          <w:szCs w:val="24"/>
        </w:rPr>
      </w:pPr>
      <w:r w:rsidRPr="00E45DDD">
        <w:rPr>
          <w:rFonts w:cstheme="minorHAnsi"/>
          <w:sz w:val="24"/>
          <w:szCs w:val="24"/>
          <w:lang w:val="es-CL"/>
        </w:rPr>
        <w:t xml:space="preserve">El procesamiento y análisis de la información se realizó a través del </w:t>
      </w:r>
      <w:r w:rsidRPr="00E45DDD">
        <w:rPr>
          <w:rFonts w:eastAsia="Times New Roman" w:cstheme="minorHAnsi"/>
          <w:sz w:val="24"/>
          <w:szCs w:val="24"/>
          <w:lang w:val="es-ES_tradnl"/>
        </w:rPr>
        <w:t xml:space="preserve">procesador estadístico SPSS versión 21.0. </w:t>
      </w:r>
      <w:r w:rsidRPr="00E45DDD">
        <w:rPr>
          <w:rFonts w:cstheme="minorHAnsi"/>
          <w:sz w:val="24"/>
          <w:szCs w:val="24"/>
        </w:rPr>
        <w:t>Para evaluar las variables estudiadas se realizaron análisis estadísticos descriptivos, tales como frecuencias absolutas y porcentajes.</w:t>
      </w:r>
    </w:p>
    <w:p w:rsidR="00E131C8" w:rsidRPr="00E45DDD" w:rsidRDefault="00E131C8" w:rsidP="00E131C8">
      <w:pPr>
        <w:widowControl w:val="0"/>
        <w:shd w:val="clear" w:color="auto" w:fill="FFFFFF"/>
        <w:autoSpaceDE w:val="0"/>
        <w:autoSpaceDN w:val="0"/>
        <w:adjustRightInd w:val="0"/>
        <w:spacing w:before="240" w:after="0" w:line="360" w:lineRule="auto"/>
        <w:jc w:val="both"/>
        <w:rPr>
          <w:rFonts w:cstheme="minorHAnsi"/>
          <w:b/>
          <w:sz w:val="24"/>
          <w:szCs w:val="24"/>
        </w:rPr>
      </w:pPr>
      <w:r w:rsidRPr="00E45DDD">
        <w:rPr>
          <w:rFonts w:cstheme="minorHAnsi"/>
          <w:b/>
          <w:sz w:val="24"/>
          <w:szCs w:val="24"/>
        </w:rPr>
        <w:t xml:space="preserve">Bioética médica </w:t>
      </w:r>
    </w:p>
    <w:p w:rsidR="00E131C8" w:rsidRPr="00E45DDD" w:rsidRDefault="00E131C8" w:rsidP="00E131C8">
      <w:pPr>
        <w:spacing w:before="100" w:beforeAutospacing="1" w:after="100" w:afterAutospacing="1" w:line="360" w:lineRule="auto"/>
        <w:jc w:val="both"/>
        <w:rPr>
          <w:rFonts w:cstheme="minorHAnsi"/>
          <w:sz w:val="24"/>
          <w:szCs w:val="24"/>
        </w:rPr>
      </w:pPr>
      <w:r w:rsidRPr="00E45DDD">
        <w:rPr>
          <w:rFonts w:cstheme="minorHAnsi"/>
          <w:sz w:val="24"/>
          <w:szCs w:val="24"/>
        </w:rPr>
        <w:t>El trabajo fue revisado previo encuentro con los directivos del Hospital y Jefe de Servicio de Medicina Interna donde se explicó el objetivo de la investigación. La investigación se realizó teniendo en cuenta los principios de la bioética de beneficencia y no maleficencia, respeto por la autonomía y justicia y considerando los principios básicos en la declaración de Helsinki. Se tomó en cuenta todos los cuidados éticos, se mantuvo total confidencialidad sobre los resultados obtenidos. Se mantuvieron los datos primarios respetando las normas de confidencialidad y los mismos quedaron en poder de los investigadores y su empleo es solo con fines investigativos.</w:t>
      </w:r>
    </w:p>
    <w:p w:rsidR="00E131C8" w:rsidRPr="00E45DDD" w:rsidRDefault="00E131C8" w:rsidP="00E131C8">
      <w:pPr>
        <w:autoSpaceDE w:val="0"/>
        <w:autoSpaceDN w:val="0"/>
        <w:adjustRightInd w:val="0"/>
        <w:spacing w:after="21" w:line="360" w:lineRule="auto"/>
        <w:jc w:val="both"/>
        <w:rPr>
          <w:rFonts w:cstheme="minorHAnsi"/>
          <w:b/>
          <w:sz w:val="24"/>
          <w:szCs w:val="24"/>
          <w:lang w:val="es-US"/>
        </w:rPr>
      </w:pPr>
      <w:r w:rsidRPr="00E45DDD">
        <w:rPr>
          <w:rFonts w:cstheme="minorHAnsi"/>
          <w:b/>
          <w:sz w:val="24"/>
          <w:szCs w:val="24"/>
          <w:lang w:val="es-US"/>
        </w:rPr>
        <w:t>RESULTADOS</w:t>
      </w:r>
    </w:p>
    <w:p w:rsidR="00E131C8" w:rsidRPr="00E45DDD" w:rsidRDefault="00E131C8" w:rsidP="00E131C8">
      <w:pPr>
        <w:spacing w:after="0" w:line="360" w:lineRule="auto"/>
        <w:jc w:val="both"/>
        <w:rPr>
          <w:rFonts w:cstheme="minorHAnsi"/>
          <w:sz w:val="24"/>
          <w:szCs w:val="24"/>
        </w:rPr>
      </w:pPr>
      <w:r w:rsidRPr="00E45DDD">
        <w:rPr>
          <w:rFonts w:eastAsia="Arial" w:cstheme="minorHAnsi"/>
          <w:sz w:val="24"/>
          <w:szCs w:val="24"/>
        </w:rPr>
        <w:lastRenderedPageBreak/>
        <w:t xml:space="preserve">Tabla 1. </w:t>
      </w:r>
      <w:r w:rsidRPr="00E45DDD">
        <w:rPr>
          <w:rFonts w:cstheme="minorHAnsi"/>
          <w:sz w:val="24"/>
          <w:szCs w:val="24"/>
          <w:lang w:val="es-US"/>
        </w:rPr>
        <w:t xml:space="preserve">Distribución de </w:t>
      </w:r>
      <w:r w:rsidRPr="00E45DDD">
        <w:rPr>
          <w:rFonts w:eastAsia="Arial" w:cstheme="minorHAnsi"/>
          <w:sz w:val="24"/>
          <w:szCs w:val="24"/>
        </w:rPr>
        <w:t xml:space="preserve">pacientes con insuficiencia cardiaca según edad y sexo. </w:t>
      </w:r>
      <w:r w:rsidRPr="00E45DDD">
        <w:rPr>
          <w:rFonts w:cstheme="minorHAnsi"/>
          <w:sz w:val="24"/>
          <w:szCs w:val="24"/>
          <w:lang w:val="es-US"/>
        </w:rPr>
        <w:t xml:space="preserve">Hospital Provincial Clínico Quirúrgico Docente “Dr. Saturnino Lora Torres”. Santiago de Cuba. </w:t>
      </w:r>
      <w:r w:rsidR="00E03F6B">
        <w:rPr>
          <w:rFonts w:cstheme="minorHAnsi"/>
          <w:sz w:val="24"/>
          <w:szCs w:val="24"/>
          <w:lang w:val="es-US"/>
        </w:rPr>
        <w:t>Octubre 2018 a 0ctubre 2020</w:t>
      </w:r>
      <w:r w:rsidRPr="00E45DDD">
        <w:rPr>
          <w:rFonts w:cstheme="minorHAnsi"/>
          <w:sz w:val="24"/>
          <w:szCs w:val="24"/>
          <w:lang w:val="es-US"/>
        </w:rPr>
        <w:t>.</w:t>
      </w:r>
    </w:p>
    <w:tbl>
      <w:tblPr>
        <w:tblStyle w:val="Tablaconcuadrcula"/>
        <w:tblpPr w:leftFromText="141" w:rightFromText="141" w:vertAnchor="text" w:horzAnchor="page" w:tblpX="1856" w:tblpY="331"/>
        <w:tblW w:w="5000" w:type="pct"/>
        <w:tblLook w:val="04A0"/>
      </w:tblPr>
      <w:tblGrid>
        <w:gridCol w:w="2000"/>
        <w:gridCol w:w="1175"/>
        <w:gridCol w:w="1175"/>
        <w:gridCol w:w="1175"/>
        <w:gridCol w:w="1177"/>
        <w:gridCol w:w="1175"/>
        <w:gridCol w:w="1177"/>
      </w:tblGrid>
      <w:tr w:rsidR="00E131C8" w:rsidRPr="00E45DDD" w:rsidTr="00AC124A">
        <w:tc>
          <w:tcPr>
            <w:tcW w:w="1104" w:type="pct"/>
            <w:vMerge w:val="restar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Edad</w:t>
            </w:r>
          </w:p>
        </w:tc>
        <w:tc>
          <w:tcPr>
            <w:tcW w:w="2597" w:type="pct"/>
            <w:gridSpan w:val="4"/>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Sexo</w:t>
            </w:r>
          </w:p>
        </w:tc>
        <w:tc>
          <w:tcPr>
            <w:tcW w:w="1299" w:type="pct"/>
            <w:gridSpan w:val="2"/>
            <w:vMerge w:val="restar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Total</w:t>
            </w:r>
          </w:p>
        </w:tc>
      </w:tr>
      <w:tr w:rsidR="00E131C8" w:rsidRPr="00E45DDD" w:rsidTr="00AC124A">
        <w:tc>
          <w:tcPr>
            <w:tcW w:w="1104" w:type="pct"/>
            <w:vMerge/>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tc>
        <w:tc>
          <w:tcPr>
            <w:tcW w:w="1298" w:type="pct"/>
            <w:gridSpan w:val="2"/>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Femenino</w:t>
            </w:r>
          </w:p>
        </w:tc>
        <w:tc>
          <w:tcPr>
            <w:tcW w:w="1298" w:type="pct"/>
            <w:gridSpan w:val="2"/>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Masculino</w:t>
            </w:r>
          </w:p>
        </w:tc>
        <w:tc>
          <w:tcPr>
            <w:tcW w:w="1299" w:type="pct"/>
            <w:gridSpan w:val="2"/>
            <w:vMerge/>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tc>
      </w:tr>
      <w:tr w:rsidR="00E131C8" w:rsidRPr="00E45DDD" w:rsidTr="00AC124A">
        <w:tc>
          <w:tcPr>
            <w:tcW w:w="1104" w:type="pct"/>
            <w:vMerge/>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650"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r>
      <w:tr w:rsidR="00E131C8" w:rsidRPr="00E45DDD" w:rsidTr="00AC124A">
        <w:tc>
          <w:tcPr>
            <w:tcW w:w="110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50-60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w:t>
            </w:r>
          </w:p>
        </w:tc>
        <w:tc>
          <w:tcPr>
            <w:tcW w:w="650"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8,0</w:t>
            </w:r>
          </w:p>
        </w:tc>
      </w:tr>
      <w:tr w:rsidR="00E131C8" w:rsidRPr="00E45DDD" w:rsidTr="00AC124A">
        <w:tc>
          <w:tcPr>
            <w:tcW w:w="110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61-70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16,0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5</w:t>
            </w:r>
          </w:p>
        </w:tc>
        <w:tc>
          <w:tcPr>
            <w:tcW w:w="650"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20,0</w:t>
            </w:r>
          </w:p>
        </w:tc>
      </w:tr>
      <w:tr w:rsidR="00E131C8" w:rsidRPr="00E45DDD" w:rsidTr="00AC124A">
        <w:tc>
          <w:tcPr>
            <w:tcW w:w="110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71-80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16,0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6</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24,0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10</w:t>
            </w:r>
          </w:p>
        </w:tc>
        <w:tc>
          <w:tcPr>
            <w:tcW w:w="650"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40,0</w:t>
            </w:r>
          </w:p>
        </w:tc>
      </w:tr>
      <w:tr w:rsidR="00E131C8" w:rsidRPr="00E45DDD" w:rsidTr="00AC124A">
        <w:tc>
          <w:tcPr>
            <w:tcW w:w="110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81-90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6</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24,0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7</w:t>
            </w:r>
          </w:p>
        </w:tc>
        <w:tc>
          <w:tcPr>
            <w:tcW w:w="650"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28,0</w:t>
            </w:r>
          </w:p>
        </w:tc>
      </w:tr>
      <w:tr w:rsidR="00E131C8" w:rsidRPr="00E45DDD" w:rsidTr="00AC124A">
        <w:tc>
          <w:tcPr>
            <w:tcW w:w="110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+ 90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650"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r>
      <w:tr w:rsidR="00E131C8" w:rsidRPr="00E45DDD" w:rsidTr="00AC124A">
        <w:trPr>
          <w:trHeight w:val="378"/>
        </w:trPr>
        <w:tc>
          <w:tcPr>
            <w:tcW w:w="1104"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Total</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14</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56,0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11</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44,0</w:t>
            </w:r>
          </w:p>
        </w:tc>
        <w:tc>
          <w:tcPr>
            <w:tcW w:w="64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25</w:t>
            </w:r>
          </w:p>
        </w:tc>
        <w:tc>
          <w:tcPr>
            <w:tcW w:w="650"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100,0</w:t>
            </w:r>
          </w:p>
        </w:tc>
      </w:tr>
    </w:tbl>
    <w:p w:rsidR="00E131C8" w:rsidRDefault="00E131C8" w:rsidP="00E131C8">
      <w:pPr>
        <w:shd w:val="clear" w:color="auto" w:fill="FFFFFF"/>
        <w:spacing w:before="240" w:after="0" w:line="360" w:lineRule="auto"/>
        <w:jc w:val="both"/>
        <w:rPr>
          <w:rFonts w:eastAsia="Arial" w:cstheme="minorHAnsi"/>
          <w:sz w:val="24"/>
          <w:szCs w:val="24"/>
        </w:rPr>
      </w:pPr>
      <w:r>
        <w:rPr>
          <w:rFonts w:eastAsia="Arial" w:cstheme="minorHAnsi"/>
          <w:sz w:val="24"/>
          <w:szCs w:val="24"/>
        </w:rPr>
        <w:t xml:space="preserve">Fuente: Historias Clínicas </w:t>
      </w:r>
    </w:p>
    <w:p w:rsidR="00E131C8" w:rsidRPr="00E45DDD" w:rsidRDefault="00E131C8" w:rsidP="00E131C8">
      <w:pPr>
        <w:shd w:val="clear" w:color="auto" w:fill="FFFFFF"/>
        <w:spacing w:before="240" w:after="0" w:line="360" w:lineRule="auto"/>
        <w:jc w:val="both"/>
        <w:rPr>
          <w:rFonts w:eastAsia="Arial" w:cstheme="minorHAnsi"/>
          <w:sz w:val="24"/>
          <w:szCs w:val="24"/>
        </w:rPr>
      </w:pPr>
    </w:p>
    <w:p w:rsidR="00E131C8" w:rsidRPr="00E45DDD" w:rsidRDefault="00E131C8" w:rsidP="00E131C8">
      <w:pPr>
        <w:autoSpaceDE w:val="0"/>
        <w:autoSpaceDN w:val="0"/>
        <w:adjustRightInd w:val="0"/>
        <w:spacing w:after="21" w:line="360" w:lineRule="auto"/>
        <w:jc w:val="both"/>
        <w:rPr>
          <w:rFonts w:cstheme="minorHAnsi"/>
          <w:b/>
          <w:sz w:val="24"/>
          <w:szCs w:val="24"/>
          <w:lang w:val="es-US"/>
        </w:rPr>
      </w:pPr>
      <w:r w:rsidRPr="002F1B72">
        <w:rPr>
          <w:rFonts w:eastAsia="Arial" w:cstheme="minorHAnsi"/>
          <w:sz w:val="24"/>
          <w:szCs w:val="24"/>
        </w:rPr>
        <w:t>Se</w:t>
      </w:r>
      <w:r w:rsidRPr="00E45DDD">
        <w:rPr>
          <w:rFonts w:eastAsia="Arial" w:cstheme="minorHAnsi"/>
          <w:sz w:val="24"/>
          <w:szCs w:val="24"/>
        </w:rPr>
        <w:t xml:space="preserve"> evidenció que hubo un predominio de pacientes femeninas con un 56,0 %, destacándose el grupo etario entre 81 a 90 años. La unión de los grupos de edades más avanzados, a partir de los 71 años, reporta el 72,0 % del total de enfermos, es decir siete de cada 10 enfermos de la muestra presentaron edades muy avanzadas de la vida.</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Tabla 2.</w:t>
      </w:r>
      <w:r w:rsidRPr="00E45DDD">
        <w:rPr>
          <w:rFonts w:cstheme="minorHAnsi"/>
          <w:sz w:val="24"/>
          <w:szCs w:val="24"/>
          <w:lang w:val="es-US"/>
        </w:rPr>
        <w:t xml:space="preserve">Distribución de </w:t>
      </w:r>
      <w:r w:rsidRPr="00E45DDD">
        <w:rPr>
          <w:rFonts w:eastAsia="Arial" w:cstheme="minorHAnsi"/>
          <w:sz w:val="24"/>
          <w:szCs w:val="24"/>
        </w:rPr>
        <w:t>pacientes con insuficiencia cardiaca según los factores de riesgo relacionados.</w:t>
      </w:r>
    </w:p>
    <w:tbl>
      <w:tblPr>
        <w:tblStyle w:val="Tablaconcuadrcula1"/>
        <w:tblW w:w="0" w:type="auto"/>
        <w:tblInd w:w="38" w:type="dxa"/>
        <w:tblLook w:val="01E0"/>
      </w:tblPr>
      <w:tblGrid>
        <w:gridCol w:w="3052"/>
        <w:gridCol w:w="2979"/>
        <w:gridCol w:w="2985"/>
      </w:tblGrid>
      <w:tr w:rsidR="00E131C8" w:rsidRPr="00E45DDD" w:rsidTr="00AC124A">
        <w:tc>
          <w:tcPr>
            <w:tcW w:w="9016" w:type="dxa"/>
            <w:gridSpan w:val="3"/>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b/>
                <w:sz w:val="24"/>
                <w:szCs w:val="24"/>
              </w:rPr>
              <w:t>Factores de riesgo</w:t>
            </w:r>
          </w:p>
        </w:tc>
      </w:tr>
      <w:tr w:rsidR="00E131C8" w:rsidRPr="00E45DDD" w:rsidTr="00AC124A">
        <w:tc>
          <w:tcPr>
            <w:tcW w:w="9016" w:type="dxa"/>
            <w:gridSpan w:val="3"/>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b/>
                <w:sz w:val="24"/>
                <w:szCs w:val="24"/>
              </w:rPr>
              <w:t>No Modificables</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Factores</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r w:rsidRPr="00E45DDD">
              <w:rPr>
                <w:rFonts w:asciiTheme="minorHAnsi" w:eastAsia="Arial" w:hAnsiTheme="minorHAnsi" w:cstheme="minorHAnsi"/>
                <w:sz w:val="24"/>
                <w:szCs w:val="24"/>
              </w:rPr>
              <w:t>i</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Edad mayor de 70 años</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18</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72,0</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Color de piel negro</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11</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44,0</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Sexo masculino</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11</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44,0</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lastRenderedPageBreak/>
              <w:t>Herencia</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19</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76,0</w:t>
            </w:r>
          </w:p>
        </w:tc>
      </w:tr>
      <w:tr w:rsidR="00E131C8" w:rsidRPr="00E45DDD" w:rsidTr="00AC124A">
        <w:tc>
          <w:tcPr>
            <w:tcW w:w="9016" w:type="dxa"/>
            <w:gridSpan w:val="3"/>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Modificables</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Factores</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r w:rsidRPr="00E45DDD">
              <w:rPr>
                <w:rFonts w:asciiTheme="minorHAnsi" w:eastAsia="Arial" w:hAnsiTheme="minorHAnsi" w:cstheme="minorHAnsi"/>
                <w:sz w:val="24"/>
                <w:szCs w:val="24"/>
              </w:rPr>
              <w:t xml:space="preserve"> i</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Obesidad</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17</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68,0</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Sedentarismo</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22</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88,0</w:t>
            </w:r>
          </w:p>
        </w:tc>
      </w:tr>
      <w:tr w:rsidR="00E131C8" w:rsidRPr="00E45DDD" w:rsidTr="00AC124A">
        <w:trPr>
          <w:trHeight w:val="228"/>
        </w:trPr>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HTA</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22</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88,0</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Diabetes Mellitus</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13</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52,0</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Alcoholismo</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5</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20,0</w:t>
            </w:r>
          </w:p>
        </w:tc>
      </w:tr>
      <w:tr w:rsidR="00E131C8" w:rsidRPr="00E45DDD" w:rsidTr="00AC124A">
        <w:tc>
          <w:tcPr>
            <w:tcW w:w="3052"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Tabaquismo</w:t>
            </w:r>
          </w:p>
        </w:tc>
        <w:tc>
          <w:tcPr>
            <w:tcW w:w="2979"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10</w:t>
            </w:r>
          </w:p>
        </w:tc>
        <w:tc>
          <w:tcPr>
            <w:tcW w:w="2985" w:type="dxa"/>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40,0</w:t>
            </w:r>
          </w:p>
        </w:tc>
      </w:tr>
    </w:tbl>
    <w:p w:rsidR="00E131C8" w:rsidRDefault="00E131C8" w:rsidP="00E131C8">
      <w:pPr>
        <w:shd w:val="clear" w:color="auto" w:fill="FFFFFF"/>
        <w:spacing w:before="240" w:after="0" w:line="360" w:lineRule="auto"/>
        <w:jc w:val="both"/>
        <w:rPr>
          <w:rFonts w:eastAsia="Arial" w:cstheme="minorHAnsi"/>
          <w:sz w:val="24"/>
          <w:szCs w:val="24"/>
        </w:rPr>
      </w:pPr>
      <w:r>
        <w:rPr>
          <w:rFonts w:eastAsia="Arial" w:cstheme="minorHAnsi"/>
          <w:sz w:val="24"/>
          <w:szCs w:val="24"/>
        </w:rPr>
        <w:t xml:space="preserve">Fuente: Historias Clínicas </w:t>
      </w:r>
    </w:p>
    <w:p w:rsidR="00E131C8" w:rsidRPr="00E45DDD" w:rsidRDefault="00E131C8" w:rsidP="00E131C8">
      <w:pPr>
        <w:shd w:val="clear" w:color="auto" w:fill="FFFFFF"/>
        <w:spacing w:before="240" w:after="0" w:line="360" w:lineRule="auto"/>
        <w:jc w:val="both"/>
        <w:rPr>
          <w:rFonts w:eastAsia="Arial" w:cstheme="minorHAnsi"/>
          <w:sz w:val="24"/>
          <w:szCs w:val="24"/>
        </w:rPr>
      </w:pPr>
      <w:proofErr w:type="gramStart"/>
      <w:r w:rsidRPr="00E45DDD">
        <w:rPr>
          <w:rFonts w:eastAsia="Arial" w:cstheme="minorHAnsi"/>
          <w:sz w:val="24"/>
          <w:szCs w:val="24"/>
        </w:rPr>
        <w:t>i</w:t>
      </w:r>
      <w:proofErr w:type="gramEnd"/>
      <w:r w:rsidRPr="00E45DDD">
        <w:rPr>
          <w:rFonts w:eastAsia="Arial" w:cstheme="minorHAnsi"/>
          <w:sz w:val="24"/>
          <w:szCs w:val="24"/>
        </w:rPr>
        <w:t xml:space="preserve"> Porcentaje calculado en base al total de la muestra, (n=25).</w:t>
      </w:r>
    </w:p>
    <w:p w:rsidR="00E131C8" w:rsidRPr="00E45DDD" w:rsidRDefault="00E131C8" w:rsidP="00E131C8">
      <w:pPr>
        <w:shd w:val="clear" w:color="auto" w:fill="FFFFFF"/>
        <w:spacing w:before="240" w:after="0" w:line="360" w:lineRule="auto"/>
        <w:jc w:val="both"/>
        <w:rPr>
          <w:rFonts w:cstheme="minorHAnsi"/>
          <w:sz w:val="24"/>
          <w:szCs w:val="24"/>
          <w:vertAlign w:val="superscript"/>
        </w:rPr>
      </w:pPr>
      <w:r w:rsidRPr="00E45DDD">
        <w:rPr>
          <w:rFonts w:eastAsia="Arial" w:cstheme="minorHAnsi"/>
          <w:sz w:val="24"/>
          <w:szCs w:val="24"/>
        </w:rPr>
        <w:t>Dentro de los factores de riesgo no modificables, (tabla 2)</w:t>
      </w:r>
      <w:r>
        <w:rPr>
          <w:rFonts w:eastAsia="Arial" w:cstheme="minorHAnsi"/>
          <w:sz w:val="24"/>
          <w:szCs w:val="24"/>
        </w:rPr>
        <w:t>, predominó la herencia (76,0%)</w:t>
      </w:r>
      <w:r w:rsidRPr="00E45DDD">
        <w:rPr>
          <w:rFonts w:eastAsia="Arial" w:cstheme="minorHAnsi"/>
          <w:sz w:val="24"/>
          <w:szCs w:val="24"/>
        </w:rPr>
        <w:t>; en el caso de los  modificables fueron la HTA y el sedentarismo en 22 pacientes, para el 88,0%, respectivamente</w:t>
      </w:r>
      <w:r>
        <w:rPr>
          <w:rFonts w:eastAsia="Arial" w:cstheme="minorHAnsi"/>
          <w:sz w:val="24"/>
          <w:szCs w:val="24"/>
        </w:rPr>
        <w:t>.</w:t>
      </w:r>
    </w:p>
    <w:p w:rsidR="00E131C8" w:rsidRPr="00E45DDD" w:rsidRDefault="00E131C8" w:rsidP="00E131C8">
      <w:pPr>
        <w:shd w:val="clear" w:color="auto" w:fill="FFFFFF"/>
        <w:spacing w:before="240" w:after="0" w:line="360" w:lineRule="auto"/>
        <w:jc w:val="both"/>
        <w:rPr>
          <w:rFonts w:eastAsia="Arial" w:cstheme="minorHAnsi"/>
          <w:sz w:val="24"/>
          <w:szCs w:val="24"/>
        </w:rPr>
      </w:pP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Tabla 3. </w:t>
      </w:r>
      <w:r w:rsidRPr="00E45DDD">
        <w:rPr>
          <w:rFonts w:cstheme="minorHAnsi"/>
          <w:sz w:val="24"/>
          <w:szCs w:val="24"/>
          <w:lang w:val="es-US"/>
        </w:rPr>
        <w:t xml:space="preserve">Distribución de </w:t>
      </w:r>
      <w:r w:rsidRPr="00E45DDD">
        <w:rPr>
          <w:rFonts w:eastAsia="Arial" w:cstheme="minorHAnsi"/>
          <w:sz w:val="24"/>
          <w:szCs w:val="24"/>
        </w:rPr>
        <w:t>pacientes según causa de insuficiencia cardiaca y tiempo de evolución de la enfermedad.</w:t>
      </w:r>
    </w:p>
    <w:tbl>
      <w:tblPr>
        <w:tblStyle w:val="Tablaconcuadrcula3"/>
        <w:tblW w:w="5000" w:type="pct"/>
        <w:tblLook w:val="01E0"/>
      </w:tblPr>
      <w:tblGrid>
        <w:gridCol w:w="3214"/>
        <w:gridCol w:w="719"/>
        <w:gridCol w:w="759"/>
        <w:gridCol w:w="659"/>
        <w:gridCol w:w="750"/>
        <w:gridCol w:w="659"/>
        <w:gridCol w:w="750"/>
        <w:gridCol w:w="659"/>
        <w:gridCol w:w="885"/>
      </w:tblGrid>
      <w:tr w:rsidR="00E131C8" w:rsidRPr="00E45DDD" w:rsidTr="00AC124A">
        <w:tc>
          <w:tcPr>
            <w:tcW w:w="1775" w:type="pct"/>
            <w:vMerge w:val="restar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pacing w:line="360" w:lineRule="auto"/>
              <w:jc w:val="both"/>
              <w:rPr>
                <w:rFonts w:asciiTheme="minorHAnsi" w:hAnsiTheme="minorHAnsi" w:cstheme="minorHAnsi"/>
                <w:sz w:val="24"/>
                <w:szCs w:val="24"/>
              </w:rPr>
            </w:pPr>
            <w:r w:rsidRPr="00E45DDD">
              <w:rPr>
                <w:rFonts w:asciiTheme="minorHAnsi" w:eastAsia="Arial" w:hAnsiTheme="minorHAnsi" w:cstheme="minorHAnsi"/>
                <w:b/>
                <w:sz w:val="24"/>
                <w:szCs w:val="24"/>
              </w:rPr>
              <w:t>Causa de Insuficiencia Cardiaca</w:t>
            </w:r>
          </w:p>
        </w:tc>
        <w:tc>
          <w:tcPr>
            <w:tcW w:w="3225" w:type="pct"/>
            <w:gridSpan w:val="8"/>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pacing w:line="360" w:lineRule="auto"/>
              <w:jc w:val="both"/>
              <w:rPr>
                <w:rFonts w:asciiTheme="minorHAnsi" w:hAnsiTheme="minorHAnsi" w:cstheme="minorHAnsi"/>
                <w:sz w:val="24"/>
                <w:szCs w:val="24"/>
              </w:rPr>
            </w:pPr>
            <w:r w:rsidRPr="00E45DDD">
              <w:rPr>
                <w:rFonts w:asciiTheme="minorHAnsi" w:eastAsia="Arial" w:hAnsiTheme="minorHAnsi" w:cstheme="minorHAnsi"/>
                <w:b/>
                <w:sz w:val="24"/>
                <w:szCs w:val="24"/>
              </w:rPr>
              <w:t>Tiempo de evolución</w:t>
            </w:r>
          </w:p>
        </w:tc>
      </w:tr>
      <w:tr w:rsidR="00E131C8" w:rsidRPr="00E45DDD" w:rsidTr="00AC124A">
        <w:tc>
          <w:tcPr>
            <w:tcW w:w="1775" w:type="pct"/>
            <w:vMerge/>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pacing w:line="360" w:lineRule="auto"/>
              <w:jc w:val="both"/>
              <w:rPr>
                <w:rFonts w:asciiTheme="minorHAnsi" w:hAnsiTheme="minorHAnsi" w:cstheme="minorHAnsi"/>
                <w:sz w:val="24"/>
                <w:szCs w:val="24"/>
              </w:rPr>
            </w:pPr>
          </w:p>
        </w:tc>
        <w:tc>
          <w:tcPr>
            <w:tcW w:w="816" w:type="pct"/>
            <w:gridSpan w:val="2"/>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Menos de 5 años</w:t>
            </w:r>
          </w:p>
        </w:tc>
        <w:tc>
          <w:tcPr>
            <w:tcW w:w="778" w:type="pct"/>
            <w:gridSpan w:val="2"/>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De 6 a 10 años</w:t>
            </w:r>
          </w:p>
        </w:tc>
        <w:tc>
          <w:tcPr>
            <w:tcW w:w="778" w:type="pct"/>
            <w:gridSpan w:val="2"/>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Más de 10 años</w:t>
            </w:r>
          </w:p>
        </w:tc>
        <w:tc>
          <w:tcPr>
            <w:tcW w:w="853" w:type="pct"/>
            <w:gridSpan w:val="2"/>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Total</w:t>
            </w:r>
          </w:p>
        </w:tc>
      </w:tr>
      <w:tr w:rsidR="00E131C8" w:rsidRPr="00E45DDD" w:rsidTr="00AC124A">
        <w:tc>
          <w:tcPr>
            <w:tcW w:w="1775" w:type="pct"/>
            <w:vMerge/>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pacing w:line="360" w:lineRule="auto"/>
              <w:jc w:val="both"/>
              <w:rPr>
                <w:rFonts w:asciiTheme="minorHAnsi" w:hAnsiTheme="minorHAnsi" w:cstheme="minorHAnsi"/>
                <w:sz w:val="24"/>
                <w:szCs w:val="24"/>
              </w:rPr>
            </w:pPr>
          </w:p>
        </w:tc>
        <w:tc>
          <w:tcPr>
            <w:tcW w:w="39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41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48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r>
      <w:tr w:rsidR="00E131C8" w:rsidRPr="00E45DDD" w:rsidTr="00AC124A">
        <w:tc>
          <w:tcPr>
            <w:tcW w:w="1775"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Cardiopatía hipertensiva</w:t>
            </w:r>
          </w:p>
        </w:tc>
        <w:tc>
          <w:tcPr>
            <w:tcW w:w="39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w:t>
            </w:r>
          </w:p>
        </w:tc>
        <w:tc>
          <w:tcPr>
            <w:tcW w:w="41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16,0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3</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12,0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w:t>
            </w:r>
          </w:p>
        </w:tc>
        <w:tc>
          <w:tcPr>
            <w:tcW w:w="48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32,0</w:t>
            </w:r>
          </w:p>
        </w:tc>
      </w:tr>
      <w:tr w:rsidR="00E131C8" w:rsidRPr="00E45DDD" w:rsidTr="00AC124A">
        <w:tc>
          <w:tcPr>
            <w:tcW w:w="1775"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Cardiopatía isquémica</w:t>
            </w:r>
          </w:p>
        </w:tc>
        <w:tc>
          <w:tcPr>
            <w:tcW w:w="39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w:t>
            </w:r>
          </w:p>
        </w:tc>
        <w:tc>
          <w:tcPr>
            <w:tcW w:w="41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32,0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3</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12,0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12</w:t>
            </w:r>
          </w:p>
        </w:tc>
        <w:tc>
          <w:tcPr>
            <w:tcW w:w="48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48,0</w:t>
            </w:r>
          </w:p>
        </w:tc>
      </w:tr>
      <w:tr w:rsidR="00E131C8" w:rsidRPr="00E45DDD" w:rsidTr="00AC124A">
        <w:tc>
          <w:tcPr>
            <w:tcW w:w="1775"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proofErr w:type="spellStart"/>
            <w:r w:rsidRPr="00E45DDD">
              <w:rPr>
                <w:rFonts w:asciiTheme="minorHAnsi" w:eastAsia="Arial" w:hAnsiTheme="minorHAnsi" w:cstheme="minorHAnsi"/>
                <w:sz w:val="24"/>
                <w:szCs w:val="24"/>
              </w:rPr>
              <w:t>Miocardiopatías</w:t>
            </w:r>
            <w:proofErr w:type="spellEnd"/>
          </w:p>
        </w:tc>
        <w:tc>
          <w:tcPr>
            <w:tcW w:w="39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3</w:t>
            </w:r>
          </w:p>
        </w:tc>
        <w:tc>
          <w:tcPr>
            <w:tcW w:w="41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12,0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0,0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0,0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3</w:t>
            </w:r>
          </w:p>
        </w:tc>
        <w:tc>
          <w:tcPr>
            <w:tcW w:w="48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12,0</w:t>
            </w:r>
          </w:p>
        </w:tc>
      </w:tr>
      <w:tr w:rsidR="00E131C8" w:rsidRPr="00E45DDD" w:rsidTr="00AC124A">
        <w:tc>
          <w:tcPr>
            <w:tcW w:w="1775"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proofErr w:type="spellStart"/>
            <w:r w:rsidRPr="00E45DDD">
              <w:rPr>
                <w:rFonts w:asciiTheme="minorHAnsi" w:eastAsia="Arial" w:hAnsiTheme="minorHAnsi" w:cstheme="minorHAnsi"/>
                <w:sz w:val="24"/>
                <w:szCs w:val="24"/>
              </w:rPr>
              <w:t>Cardioesclerosis</w:t>
            </w:r>
            <w:proofErr w:type="spellEnd"/>
          </w:p>
        </w:tc>
        <w:tc>
          <w:tcPr>
            <w:tcW w:w="39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41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0,0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w:t>
            </w:r>
          </w:p>
        </w:tc>
        <w:tc>
          <w:tcPr>
            <w:tcW w:w="48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8,0</w:t>
            </w:r>
          </w:p>
        </w:tc>
      </w:tr>
      <w:tr w:rsidR="00E131C8" w:rsidRPr="00E45DDD" w:rsidTr="00AC124A">
        <w:tc>
          <w:tcPr>
            <w:tcW w:w="1775"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Total</w:t>
            </w:r>
          </w:p>
        </w:tc>
        <w:tc>
          <w:tcPr>
            <w:tcW w:w="39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16</w:t>
            </w:r>
          </w:p>
        </w:tc>
        <w:tc>
          <w:tcPr>
            <w:tcW w:w="41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64,0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5</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20,0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4</w:t>
            </w:r>
          </w:p>
        </w:tc>
        <w:tc>
          <w:tcPr>
            <w:tcW w:w="41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16,0</w:t>
            </w:r>
          </w:p>
        </w:tc>
        <w:tc>
          <w:tcPr>
            <w:tcW w:w="364"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25</w:t>
            </w:r>
          </w:p>
        </w:tc>
        <w:tc>
          <w:tcPr>
            <w:tcW w:w="489"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100,0</w:t>
            </w:r>
          </w:p>
        </w:tc>
      </w:tr>
    </w:tbl>
    <w:p w:rsidR="00E131C8" w:rsidRPr="002F1B72" w:rsidRDefault="00E131C8" w:rsidP="00E131C8">
      <w:pPr>
        <w:shd w:val="clear" w:color="auto" w:fill="FFFFFF"/>
        <w:spacing w:before="240" w:after="0" w:line="360" w:lineRule="auto"/>
        <w:jc w:val="both"/>
        <w:rPr>
          <w:rFonts w:eastAsia="Arial" w:cstheme="minorHAnsi"/>
          <w:sz w:val="24"/>
          <w:szCs w:val="24"/>
        </w:rPr>
      </w:pPr>
      <w:r>
        <w:rPr>
          <w:rFonts w:eastAsia="Arial" w:cstheme="minorHAnsi"/>
          <w:sz w:val="24"/>
          <w:szCs w:val="24"/>
        </w:rPr>
        <w:lastRenderedPageBreak/>
        <w:t xml:space="preserve">Fuente: Historias Clínicas </w:t>
      </w:r>
    </w:p>
    <w:p w:rsidR="00E131C8" w:rsidRPr="00E45DDD" w:rsidRDefault="00E131C8" w:rsidP="00E131C8">
      <w:pPr>
        <w:pStyle w:val="NormalWeb"/>
        <w:shd w:val="clear" w:color="auto" w:fill="FFFFFF"/>
        <w:spacing w:before="240" w:beforeAutospacing="0" w:after="0" w:afterAutospacing="0" w:line="360" w:lineRule="auto"/>
        <w:jc w:val="both"/>
        <w:rPr>
          <w:rFonts w:asciiTheme="minorHAnsi" w:hAnsiTheme="minorHAnsi" w:cstheme="minorHAnsi"/>
        </w:rPr>
      </w:pPr>
      <w:r w:rsidRPr="00E45DDD">
        <w:rPr>
          <w:rFonts w:asciiTheme="minorHAnsi" w:eastAsia="Arial" w:hAnsiTheme="minorHAnsi" w:cstheme="minorHAnsi"/>
        </w:rPr>
        <w:t>La cardiopatía hipertensiva fue la que registró mayor número de enfermos con 10 o más años de evolución (12,0 %) (</w:t>
      </w:r>
      <w:proofErr w:type="gramStart"/>
      <w:r w:rsidRPr="00E45DDD">
        <w:rPr>
          <w:rFonts w:asciiTheme="minorHAnsi" w:eastAsia="Arial" w:hAnsiTheme="minorHAnsi" w:cstheme="minorHAnsi"/>
        </w:rPr>
        <w:t>tabla</w:t>
      </w:r>
      <w:proofErr w:type="gramEnd"/>
      <w:r w:rsidRPr="00E45DDD">
        <w:rPr>
          <w:rFonts w:asciiTheme="minorHAnsi" w:eastAsia="Arial" w:hAnsiTheme="minorHAnsi" w:cstheme="minorHAnsi"/>
        </w:rPr>
        <w:t xml:space="preserve"> 3). </w:t>
      </w:r>
    </w:p>
    <w:p w:rsidR="00E131C8" w:rsidRPr="00E45DDD" w:rsidRDefault="00E131C8" w:rsidP="00E131C8">
      <w:pPr>
        <w:shd w:val="clear" w:color="auto" w:fill="FFFFFF"/>
        <w:spacing w:before="240" w:after="0" w:line="360" w:lineRule="auto"/>
        <w:jc w:val="both"/>
        <w:rPr>
          <w:rFonts w:eastAsia="Arial" w:cstheme="minorHAnsi"/>
          <w:sz w:val="24"/>
          <w:szCs w:val="24"/>
        </w:rPr>
      </w:pP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Tabla 4. </w:t>
      </w:r>
      <w:r w:rsidRPr="00E45DDD">
        <w:rPr>
          <w:rFonts w:cstheme="minorHAnsi"/>
          <w:sz w:val="24"/>
          <w:szCs w:val="24"/>
          <w:lang w:val="es-US"/>
        </w:rPr>
        <w:t xml:space="preserve">Distribución de </w:t>
      </w:r>
      <w:r w:rsidRPr="00E45DDD">
        <w:rPr>
          <w:rFonts w:eastAsia="Arial" w:cstheme="minorHAnsi"/>
          <w:sz w:val="24"/>
          <w:szCs w:val="24"/>
        </w:rPr>
        <w:t>pacientes con insuficiencia cardiaca según valor del PNB al ingreso y al egreso.</w:t>
      </w:r>
    </w:p>
    <w:tbl>
      <w:tblPr>
        <w:tblStyle w:val="Tablaconcuadrcula"/>
        <w:tblW w:w="5000" w:type="pct"/>
        <w:tblLook w:val="04A0"/>
      </w:tblPr>
      <w:tblGrid>
        <w:gridCol w:w="3629"/>
        <w:gridCol w:w="1519"/>
        <w:gridCol w:w="1249"/>
        <w:gridCol w:w="1297"/>
        <w:gridCol w:w="1360"/>
      </w:tblGrid>
      <w:tr w:rsidR="00E131C8" w:rsidRPr="00E45DDD" w:rsidTr="00AC124A">
        <w:tc>
          <w:tcPr>
            <w:tcW w:w="2004" w:type="pct"/>
            <w:vMerge w:val="restar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Valor del PNB</w:t>
            </w:r>
          </w:p>
        </w:tc>
        <w:tc>
          <w:tcPr>
            <w:tcW w:w="1529" w:type="pct"/>
            <w:gridSpan w:val="2"/>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Ingreso</w:t>
            </w:r>
          </w:p>
        </w:tc>
        <w:tc>
          <w:tcPr>
            <w:tcW w:w="1468" w:type="pct"/>
            <w:gridSpan w:val="2"/>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Egreso</w:t>
            </w:r>
          </w:p>
        </w:tc>
      </w:tr>
      <w:tr w:rsidR="00E131C8" w:rsidRPr="00E45DDD" w:rsidTr="00AC124A">
        <w:trPr>
          <w:trHeight w:val="60"/>
        </w:trPr>
        <w:tc>
          <w:tcPr>
            <w:tcW w:w="2004" w:type="pct"/>
            <w:vMerge/>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tc>
        <w:tc>
          <w:tcPr>
            <w:tcW w:w="83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690"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716"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752"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r>
      <w:tr w:rsidR="00E131C8" w:rsidRPr="00E45DDD" w:rsidTr="00AC124A">
        <w:trPr>
          <w:trHeight w:val="60"/>
        </w:trPr>
        <w:tc>
          <w:tcPr>
            <w:tcW w:w="2004" w:type="pct"/>
            <w:shd w:val="clear" w:color="auto" w:fill="auto"/>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De 101 a 300pg/ml</w:t>
            </w:r>
          </w:p>
        </w:tc>
        <w:tc>
          <w:tcPr>
            <w:tcW w:w="839" w:type="pct"/>
            <w:shd w:val="clear" w:color="auto" w:fill="auto"/>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690" w:type="pct"/>
            <w:shd w:val="clear" w:color="auto" w:fill="auto"/>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716" w:type="pct"/>
            <w:shd w:val="clear" w:color="auto" w:fill="auto"/>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5</w:t>
            </w:r>
          </w:p>
        </w:tc>
        <w:tc>
          <w:tcPr>
            <w:tcW w:w="752" w:type="pct"/>
            <w:shd w:val="clear" w:color="auto" w:fill="auto"/>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20,0</w:t>
            </w:r>
          </w:p>
        </w:tc>
      </w:tr>
      <w:tr w:rsidR="00E131C8" w:rsidRPr="00E45DDD" w:rsidTr="00AC124A">
        <w:tc>
          <w:tcPr>
            <w:tcW w:w="200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De 301 a 600pg/ml</w:t>
            </w:r>
          </w:p>
        </w:tc>
        <w:tc>
          <w:tcPr>
            <w:tcW w:w="83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w:t>
            </w:r>
          </w:p>
        </w:tc>
        <w:tc>
          <w:tcPr>
            <w:tcW w:w="690"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8,0</w:t>
            </w:r>
          </w:p>
        </w:tc>
        <w:tc>
          <w:tcPr>
            <w:tcW w:w="71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15</w:t>
            </w:r>
          </w:p>
        </w:tc>
        <w:tc>
          <w:tcPr>
            <w:tcW w:w="752"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60,0</w:t>
            </w:r>
          </w:p>
        </w:tc>
      </w:tr>
      <w:tr w:rsidR="00E131C8" w:rsidRPr="00E45DDD" w:rsidTr="00AC124A">
        <w:tc>
          <w:tcPr>
            <w:tcW w:w="200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De 601 a 900pg/ml</w:t>
            </w:r>
          </w:p>
        </w:tc>
        <w:tc>
          <w:tcPr>
            <w:tcW w:w="83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3</w:t>
            </w:r>
          </w:p>
        </w:tc>
        <w:tc>
          <w:tcPr>
            <w:tcW w:w="690"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12,0</w:t>
            </w:r>
          </w:p>
        </w:tc>
        <w:tc>
          <w:tcPr>
            <w:tcW w:w="71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752"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r>
      <w:tr w:rsidR="00E131C8" w:rsidRPr="00E45DDD" w:rsidTr="00AC124A">
        <w:tc>
          <w:tcPr>
            <w:tcW w:w="200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Mayor o igual 901pg/ml</w:t>
            </w:r>
          </w:p>
        </w:tc>
        <w:tc>
          <w:tcPr>
            <w:tcW w:w="839"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20</w:t>
            </w:r>
          </w:p>
        </w:tc>
        <w:tc>
          <w:tcPr>
            <w:tcW w:w="690"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80,0</w:t>
            </w:r>
          </w:p>
        </w:tc>
        <w:tc>
          <w:tcPr>
            <w:tcW w:w="71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w:t>
            </w:r>
          </w:p>
        </w:tc>
        <w:tc>
          <w:tcPr>
            <w:tcW w:w="752"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16,0</w:t>
            </w:r>
          </w:p>
        </w:tc>
      </w:tr>
      <w:tr w:rsidR="00E131C8" w:rsidRPr="00E45DDD" w:rsidTr="00AC124A">
        <w:tc>
          <w:tcPr>
            <w:tcW w:w="2004"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Total</w:t>
            </w:r>
          </w:p>
        </w:tc>
        <w:tc>
          <w:tcPr>
            <w:tcW w:w="839"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25</w:t>
            </w:r>
          </w:p>
        </w:tc>
        <w:tc>
          <w:tcPr>
            <w:tcW w:w="690"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100,0</w:t>
            </w:r>
          </w:p>
        </w:tc>
        <w:tc>
          <w:tcPr>
            <w:tcW w:w="716"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25</w:t>
            </w:r>
          </w:p>
        </w:tc>
        <w:tc>
          <w:tcPr>
            <w:tcW w:w="752"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100,0</w:t>
            </w:r>
          </w:p>
        </w:tc>
      </w:tr>
    </w:tbl>
    <w:p w:rsidR="00E131C8" w:rsidRPr="002F1B72" w:rsidRDefault="00E131C8" w:rsidP="00E131C8">
      <w:pPr>
        <w:shd w:val="clear" w:color="auto" w:fill="FFFFFF"/>
        <w:spacing w:before="240" w:after="0" w:line="360" w:lineRule="auto"/>
        <w:jc w:val="both"/>
        <w:rPr>
          <w:rFonts w:eastAsia="Arial" w:cstheme="minorHAnsi"/>
          <w:sz w:val="24"/>
          <w:szCs w:val="24"/>
        </w:rPr>
      </w:pPr>
      <w:r>
        <w:rPr>
          <w:rFonts w:eastAsia="Arial" w:cstheme="minorHAnsi"/>
          <w:sz w:val="24"/>
          <w:szCs w:val="24"/>
        </w:rPr>
        <w:t xml:space="preserve">Fuente: Historias Clínicas </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cstheme="minorHAnsi"/>
          <w:sz w:val="24"/>
          <w:szCs w:val="24"/>
        </w:rPr>
        <w:t>El 100% de los casos estudiados tenían elevación del PNB al ingreso y de ellos el 80% desarrolló insuficiencia cardiaca muy grave sustentado en el valor del PNB por encima de 900pg/; solo el 20 % de los enfermos, luego de recibir tratamiento adecuado fueron egresados sin una disminución del valor del PNB (cinco enfermos). Posterior al tratamiento (egreso) 20 enfermos (80,0%) transitaron a la categoría de insuficiencia cardiaca «ligera» y «moderada», según los valores de péptido natriurético cerebral</w:t>
      </w:r>
      <w:r w:rsidRPr="00E45DDD">
        <w:rPr>
          <w:rFonts w:eastAsia="Arial" w:cstheme="minorHAnsi"/>
          <w:sz w:val="24"/>
          <w:szCs w:val="24"/>
        </w:rPr>
        <w:t xml:space="preserve"> (tabla 4).</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Tabla 5. Relación entre el valor del PNB al ingreso de los pacientes, según la causa de insuficiencia cardiaca</w:t>
      </w:r>
    </w:p>
    <w:tbl>
      <w:tblPr>
        <w:tblStyle w:val="Tablaconcuadrcula"/>
        <w:tblW w:w="5000" w:type="pct"/>
        <w:tblLook w:val="04A0"/>
      </w:tblPr>
      <w:tblGrid>
        <w:gridCol w:w="3063"/>
        <w:gridCol w:w="744"/>
        <w:gridCol w:w="1074"/>
        <w:gridCol w:w="895"/>
        <w:gridCol w:w="1043"/>
        <w:gridCol w:w="1043"/>
        <w:gridCol w:w="1192"/>
      </w:tblGrid>
      <w:tr w:rsidR="00E131C8" w:rsidRPr="00E45DDD" w:rsidTr="00AC124A">
        <w:tc>
          <w:tcPr>
            <w:tcW w:w="1692" w:type="pct"/>
            <w:vMerge w:val="restar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Causas de</w:t>
            </w:r>
          </w:p>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Insuficiencia Cardiaca</w:t>
            </w:r>
          </w:p>
        </w:tc>
        <w:tc>
          <w:tcPr>
            <w:tcW w:w="3308" w:type="pct"/>
            <w:gridSpan w:val="6"/>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Valor del PNB al ingreso</w:t>
            </w:r>
          </w:p>
        </w:tc>
      </w:tr>
      <w:tr w:rsidR="00E131C8" w:rsidRPr="00E45DDD" w:rsidTr="00AC124A">
        <w:trPr>
          <w:trHeight w:val="817"/>
        </w:trPr>
        <w:tc>
          <w:tcPr>
            <w:tcW w:w="1692" w:type="pct"/>
            <w:vMerge/>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tc>
        <w:tc>
          <w:tcPr>
            <w:tcW w:w="1004" w:type="pct"/>
            <w:gridSpan w:val="2"/>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 xml:space="preserve">De 301 a 600 </w:t>
            </w:r>
            <w:proofErr w:type="spellStart"/>
            <w:r w:rsidRPr="00E45DDD">
              <w:rPr>
                <w:rFonts w:asciiTheme="minorHAnsi" w:eastAsia="Arial" w:hAnsiTheme="minorHAnsi" w:cstheme="minorHAnsi"/>
                <w:b/>
                <w:sz w:val="24"/>
                <w:szCs w:val="24"/>
              </w:rPr>
              <w:t>pg</w:t>
            </w:r>
            <w:proofErr w:type="spellEnd"/>
            <w:r w:rsidRPr="00E45DDD">
              <w:rPr>
                <w:rFonts w:asciiTheme="minorHAnsi" w:eastAsia="Arial" w:hAnsiTheme="minorHAnsi" w:cstheme="minorHAnsi"/>
                <w:b/>
                <w:sz w:val="24"/>
                <w:szCs w:val="24"/>
              </w:rPr>
              <w:t>/ml</w:t>
            </w:r>
          </w:p>
        </w:tc>
        <w:tc>
          <w:tcPr>
            <w:tcW w:w="1070" w:type="pct"/>
            <w:gridSpan w:val="2"/>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 xml:space="preserve">De 601 a 900 </w:t>
            </w:r>
            <w:proofErr w:type="spellStart"/>
            <w:r w:rsidRPr="00E45DDD">
              <w:rPr>
                <w:rFonts w:asciiTheme="minorHAnsi" w:eastAsia="Arial" w:hAnsiTheme="minorHAnsi" w:cstheme="minorHAnsi"/>
                <w:b/>
                <w:sz w:val="24"/>
                <w:szCs w:val="24"/>
              </w:rPr>
              <w:t>pg</w:t>
            </w:r>
            <w:proofErr w:type="spellEnd"/>
            <w:r w:rsidRPr="00E45DDD">
              <w:rPr>
                <w:rFonts w:asciiTheme="minorHAnsi" w:eastAsia="Arial" w:hAnsiTheme="minorHAnsi" w:cstheme="minorHAnsi"/>
                <w:b/>
                <w:sz w:val="24"/>
                <w:szCs w:val="24"/>
              </w:rPr>
              <w:t>/ml</w:t>
            </w:r>
          </w:p>
        </w:tc>
        <w:tc>
          <w:tcPr>
            <w:tcW w:w="1234" w:type="pct"/>
            <w:gridSpan w:val="2"/>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 xml:space="preserve">Mayor o igual 901 </w:t>
            </w:r>
            <w:proofErr w:type="spellStart"/>
            <w:r w:rsidRPr="00E45DDD">
              <w:rPr>
                <w:rFonts w:asciiTheme="minorHAnsi" w:eastAsia="Arial" w:hAnsiTheme="minorHAnsi" w:cstheme="minorHAnsi"/>
                <w:b/>
                <w:sz w:val="24"/>
                <w:szCs w:val="24"/>
              </w:rPr>
              <w:t>pg</w:t>
            </w:r>
            <w:proofErr w:type="spellEnd"/>
            <w:r w:rsidRPr="00E45DDD">
              <w:rPr>
                <w:rFonts w:asciiTheme="minorHAnsi" w:eastAsia="Arial" w:hAnsiTheme="minorHAnsi" w:cstheme="minorHAnsi"/>
                <w:b/>
                <w:sz w:val="24"/>
                <w:szCs w:val="24"/>
              </w:rPr>
              <w:t>/ml</w:t>
            </w:r>
          </w:p>
        </w:tc>
      </w:tr>
      <w:tr w:rsidR="00E131C8" w:rsidRPr="00E45DDD" w:rsidTr="00AC124A">
        <w:tc>
          <w:tcPr>
            <w:tcW w:w="1692" w:type="pct"/>
            <w:vMerge/>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tc>
        <w:tc>
          <w:tcPr>
            <w:tcW w:w="411"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593"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494"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658"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r>
      <w:tr w:rsidR="00E131C8" w:rsidRPr="00E45DDD" w:rsidTr="00AC124A">
        <w:tc>
          <w:tcPr>
            <w:tcW w:w="1692"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Cardiopatía hipertensiva</w:t>
            </w:r>
          </w:p>
        </w:tc>
        <w:tc>
          <w:tcPr>
            <w:tcW w:w="411"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w:t>
            </w:r>
          </w:p>
        </w:tc>
        <w:tc>
          <w:tcPr>
            <w:tcW w:w="593"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8,0</w:t>
            </w:r>
          </w:p>
        </w:tc>
        <w:tc>
          <w:tcPr>
            <w:tcW w:w="494" w:type="pct"/>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76" w:type="pct"/>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6</w:t>
            </w:r>
          </w:p>
        </w:tc>
        <w:tc>
          <w:tcPr>
            <w:tcW w:w="658"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24,0</w:t>
            </w:r>
          </w:p>
        </w:tc>
      </w:tr>
      <w:tr w:rsidR="00E131C8" w:rsidRPr="00E45DDD" w:rsidTr="00AC124A">
        <w:trPr>
          <w:trHeight w:val="60"/>
        </w:trPr>
        <w:tc>
          <w:tcPr>
            <w:tcW w:w="1692"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Cardiopatía isquémica</w:t>
            </w:r>
          </w:p>
        </w:tc>
        <w:tc>
          <w:tcPr>
            <w:tcW w:w="411" w:type="pct"/>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93" w:type="pct"/>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49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11</w:t>
            </w:r>
          </w:p>
        </w:tc>
        <w:tc>
          <w:tcPr>
            <w:tcW w:w="658"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44,0</w:t>
            </w:r>
          </w:p>
        </w:tc>
      </w:tr>
      <w:tr w:rsidR="00E131C8" w:rsidRPr="00E45DDD" w:rsidTr="00AC124A">
        <w:tc>
          <w:tcPr>
            <w:tcW w:w="1692"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proofErr w:type="spellStart"/>
            <w:r w:rsidRPr="00E45DDD">
              <w:rPr>
                <w:rFonts w:asciiTheme="minorHAnsi" w:eastAsia="Arial" w:hAnsiTheme="minorHAnsi" w:cstheme="minorHAnsi"/>
                <w:sz w:val="24"/>
                <w:szCs w:val="24"/>
              </w:rPr>
              <w:t>Miocardiopatía</w:t>
            </w:r>
            <w:proofErr w:type="spellEnd"/>
          </w:p>
        </w:tc>
        <w:tc>
          <w:tcPr>
            <w:tcW w:w="411" w:type="pct"/>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93" w:type="pct"/>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49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w:t>
            </w:r>
          </w:p>
        </w:tc>
        <w:tc>
          <w:tcPr>
            <w:tcW w:w="658"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8,0</w:t>
            </w:r>
          </w:p>
        </w:tc>
      </w:tr>
      <w:tr w:rsidR="00E131C8" w:rsidRPr="00E45DDD" w:rsidTr="00AC124A">
        <w:tc>
          <w:tcPr>
            <w:tcW w:w="1692"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proofErr w:type="spellStart"/>
            <w:r w:rsidRPr="00E45DDD">
              <w:rPr>
                <w:rFonts w:asciiTheme="minorHAnsi" w:eastAsia="Arial" w:hAnsiTheme="minorHAnsi" w:cstheme="minorHAnsi"/>
                <w:sz w:val="24"/>
                <w:szCs w:val="24"/>
              </w:rPr>
              <w:t>Cardioesclerosis</w:t>
            </w:r>
            <w:proofErr w:type="spellEnd"/>
          </w:p>
        </w:tc>
        <w:tc>
          <w:tcPr>
            <w:tcW w:w="411" w:type="pct"/>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93" w:type="pct"/>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494"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658" w:type="pct"/>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4,0</w:t>
            </w:r>
          </w:p>
        </w:tc>
      </w:tr>
      <w:tr w:rsidR="00E131C8" w:rsidRPr="00E45DDD" w:rsidTr="00AC124A">
        <w:tc>
          <w:tcPr>
            <w:tcW w:w="1692"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Total</w:t>
            </w:r>
          </w:p>
        </w:tc>
        <w:tc>
          <w:tcPr>
            <w:tcW w:w="411"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2</w:t>
            </w:r>
          </w:p>
        </w:tc>
        <w:tc>
          <w:tcPr>
            <w:tcW w:w="593"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8,0</w:t>
            </w:r>
          </w:p>
        </w:tc>
        <w:tc>
          <w:tcPr>
            <w:tcW w:w="494"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3</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12,0</w:t>
            </w:r>
          </w:p>
        </w:tc>
        <w:tc>
          <w:tcPr>
            <w:tcW w:w="576"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20</w:t>
            </w:r>
          </w:p>
        </w:tc>
        <w:tc>
          <w:tcPr>
            <w:tcW w:w="658" w:type="pct"/>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80,0</w:t>
            </w:r>
          </w:p>
        </w:tc>
      </w:tr>
    </w:tbl>
    <w:p w:rsidR="00E131C8" w:rsidRDefault="00E131C8" w:rsidP="00E131C8">
      <w:pPr>
        <w:shd w:val="clear" w:color="auto" w:fill="FFFFFF"/>
        <w:spacing w:before="240" w:after="0" w:line="360" w:lineRule="auto"/>
        <w:jc w:val="both"/>
        <w:rPr>
          <w:rFonts w:eastAsia="Arial" w:cstheme="minorHAnsi"/>
          <w:sz w:val="24"/>
          <w:szCs w:val="24"/>
        </w:rPr>
      </w:pPr>
    </w:p>
    <w:p w:rsidR="00E131C8" w:rsidRDefault="00E131C8" w:rsidP="00E131C8">
      <w:pPr>
        <w:shd w:val="clear" w:color="auto" w:fill="FFFFFF"/>
        <w:spacing w:before="240" w:after="0" w:line="360" w:lineRule="auto"/>
        <w:jc w:val="both"/>
        <w:rPr>
          <w:rFonts w:eastAsia="Arial" w:cstheme="minorHAnsi"/>
          <w:sz w:val="24"/>
          <w:szCs w:val="24"/>
        </w:rPr>
      </w:pPr>
      <w:r>
        <w:rPr>
          <w:rFonts w:eastAsia="Arial" w:cstheme="minorHAnsi"/>
          <w:sz w:val="24"/>
          <w:szCs w:val="24"/>
        </w:rPr>
        <w:t xml:space="preserve">Fuente: Historias Clínicas </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Al relacionar el valor del PNB con la causa de insuficiencia cardiaca al ingreso, (tabla 5), se evidenció que del 80% de los pacientes con insuficiencia cardiaca muy grave, el 44% eran secundarios a la cardiopatía isquémica.</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Tabla 6. Mortalidad según valores del péptido natriurético cerebral. </w:t>
      </w:r>
    </w:p>
    <w:tbl>
      <w:tblPr>
        <w:tblStyle w:val="Tablaconcuadrcula4"/>
        <w:tblW w:w="5000" w:type="pct"/>
        <w:tblLook w:val="01E0"/>
      </w:tblPr>
      <w:tblGrid>
        <w:gridCol w:w="3018"/>
        <w:gridCol w:w="1007"/>
        <w:gridCol w:w="1007"/>
        <w:gridCol w:w="1007"/>
        <w:gridCol w:w="1007"/>
        <w:gridCol w:w="1007"/>
        <w:gridCol w:w="1001"/>
      </w:tblGrid>
      <w:tr w:rsidR="00E131C8" w:rsidRPr="00E45DDD" w:rsidTr="00AC124A">
        <w:tc>
          <w:tcPr>
            <w:tcW w:w="1667" w:type="pct"/>
            <w:vMerge w:val="restart"/>
            <w:tcBorders>
              <w:top w:val="single" w:sz="4" w:space="0" w:color="auto"/>
              <w:left w:val="single" w:sz="4" w:space="0" w:color="auto"/>
              <w:bottom w:val="single" w:sz="4" w:space="0" w:color="auto"/>
              <w:right w:val="single" w:sz="4" w:space="0" w:color="auto"/>
            </w:tcBorders>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p>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Valor del PNB</w:t>
            </w:r>
          </w:p>
          <w:p w:rsidR="00E131C8" w:rsidRPr="00E45DDD" w:rsidRDefault="00E131C8" w:rsidP="00AC124A">
            <w:pPr>
              <w:spacing w:line="360" w:lineRule="auto"/>
              <w:jc w:val="both"/>
              <w:rPr>
                <w:rFonts w:asciiTheme="minorHAnsi" w:hAnsiTheme="minorHAnsi" w:cstheme="minorHAnsi"/>
                <w:sz w:val="24"/>
                <w:szCs w:val="24"/>
              </w:rPr>
            </w:pPr>
            <w:r w:rsidRPr="00E45DDD">
              <w:rPr>
                <w:rFonts w:asciiTheme="minorHAnsi" w:eastAsia="Arial" w:hAnsiTheme="minorHAnsi" w:cstheme="minorHAnsi"/>
                <w:b/>
                <w:sz w:val="24"/>
                <w:szCs w:val="24"/>
              </w:rPr>
              <w:t>al egreso</w:t>
            </w:r>
          </w:p>
        </w:tc>
        <w:tc>
          <w:tcPr>
            <w:tcW w:w="3333" w:type="pct"/>
            <w:gridSpan w:val="6"/>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pacing w:line="360" w:lineRule="auto"/>
              <w:jc w:val="both"/>
              <w:rPr>
                <w:rFonts w:asciiTheme="minorHAnsi" w:hAnsiTheme="minorHAnsi" w:cstheme="minorHAnsi"/>
                <w:sz w:val="24"/>
                <w:szCs w:val="24"/>
              </w:rPr>
            </w:pPr>
            <w:r w:rsidRPr="00E45DDD">
              <w:rPr>
                <w:rFonts w:asciiTheme="minorHAnsi" w:eastAsia="Arial" w:hAnsiTheme="minorHAnsi" w:cstheme="minorHAnsi"/>
                <w:b/>
                <w:sz w:val="24"/>
                <w:szCs w:val="24"/>
              </w:rPr>
              <w:t>Estado al egreso</w:t>
            </w:r>
          </w:p>
        </w:tc>
      </w:tr>
      <w:tr w:rsidR="00E131C8" w:rsidRPr="00E45DDD" w:rsidTr="00AC124A">
        <w:tc>
          <w:tcPr>
            <w:tcW w:w="0" w:type="auto"/>
            <w:vMerge/>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pacing w:line="360" w:lineRule="auto"/>
              <w:jc w:val="both"/>
              <w:rPr>
                <w:rFonts w:asciiTheme="minorHAnsi" w:hAnsiTheme="minorHAnsi" w:cstheme="minorHAnsi"/>
                <w:sz w:val="24"/>
                <w:szCs w:val="24"/>
              </w:rPr>
            </w:pPr>
          </w:p>
        </w:tc>
        <w:tc>
          <w:tcPr>
            <w:tcW w:w="1112" w:type="pct"/>
            <w:gridSpan w:val="2"/>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Vivos</w:t>
            </w:r>
          </w:p>
        </w:tc>
        <w:tc>
          <w:tcPr>
            <w:tcW w:w="1112" w:type="pct"/>
            <w:gridSpan w:val="2"/>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Fallecidos</w:t>
            </w:r>
          </w:p>
        </w:tc>
        <w:tc>
          <w:tcPr>
            <w:tcW w:w="1109" w:type="pct"/>
            <w:gridSpan w:val="2"/>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Total</w:t>
            </w:r>
          </w:p>
        </w:tc>
      </w:tr>
      <w:tr w:rsidR="00E131C8" w:rsidRPr="00E45DDD" w:rsidTr="00AC124A">
        <w:tc>
          <w:tcPr>
            <w:tcW w:w="0" w:type="auto"/>
            <w:vMerge/>
            <w:tcBorders>
              <w:top w:val="single" w:sz="4" w:space="0" w:color="auto"/>
              <w:left w:val="single" w:sz="4" w:space="0" w:color="auto"/>
              <w:bottom w:val="single" w:sz="4" w:space="0" w:color="auto"/>
              <w:right w:val="single" w:sz="4" w:space="0" w:color="auto"/>
            </w:tcBorders>
            <w:vAlign w:val="center"/>
            <w:hideMark/>
          </w:tcPr>
          <w:p w:rsidR="00E131C8" w:rsidRPr="00E45DDD" w:rsidRDefault="00E131C8" w:rsidP="00AC124A">
            <w:pPr>
              <w:spacing w:line="360" w:lineRule="auto"/>
              <w:jc w:val="both"/>
              <w:rPr>
                <w:rFonts w:asciiTheme="minorHAnsi" w:hAnsiTheme="minorHAnsi" w:cstheme="minorHAnsi"/>
                <w:sz w:val="24"/>
                <w:szCs w:val="24"/>
              </w:rPr>
            </w:pP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No.</w:t>
            </w:r>
          </w:p>
        </w:tc>
        <w:tc>
          <w:tcPr>
            <w:tcW w:w="553"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b/>
                <w:sz w:val="24"/>
                <w:szCs w:val="24"/>
              </w:rPr>
            </w:pPr>
            <w:r w:rsidRPr="00E45DDD">
              <w:rPr>
                <w:rFonts w:asciiTheme="minorHAnsi" w:eastAsia="Arial" w:hAnsiTheme="minorHAnsi" w:cstheme="minorHAnsi"/>
                <w:b/>
                <w:sz w:val="24"/>
                <w:szCs w:val="24"/>
              </w:rPr>
              <w:t>%</w:t>
            </w:r>
          </w:p>
        </w:tc>
      </w:tr>
      <w:tr w:rsidR="00E131C8" w:rsidRPr="00E45DDD" w:rsidTr="00AC124A">
        <w:tc>
          <w:tcPr>
            <w:tcW w:w="166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 xml:space="preserve">De 101 a 300 </w:t>
            </w:r>
            <w:proofErr w:type="spellStart"/>
            <w:r w:rsidRPr="00E45DDD">
              <w:rPr>
                <w:rFonts w:asciiTheme="minorHAnsi" w:eastAsia="Arial" w:hAnsiTheme="minorHAnsi" w:cstheme="minorHAnsi"/>
                <w:sz w:val="24"/>
                <w:szCs w:val="24"/>
              </w:rPr>
              <w:t>pg</w:t>
            </w:r>
            <w:proofErr w:type="spellEnd"/>
            <w:r w:rsidRPr="00E45DDD">
              <w:rPr>
                <w:rFonts w:asciiTheme="minorHAnsi" w:eastAsia="Arial" w:hAnsiTheme="minorHAnsi" w:cstheme="minorHAnsi"/>
                <w:sz w:val="24"/>
                <w:szCs w:val="24"/>
              </w:rPr>
              <w:t>/ml</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5</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100,0</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187ECD"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5</w:t>
            </w:r>
          </w:p>
        </w:tc>
        <w:tc>
          <w:tcPr>
            <w:tcW w:w="553"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100,0</w:t>
            </w:r>
          </w:p>
        </w:tc>
      </w:tr>
      <w:tr w:rsidR="00E131C8" w:rsidRPr="00E45DDD" w:rsidTr="00AC124A">
        <w:tc>
          <w:tcPr>
            <w:tcW w:w="166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 xml:space="preserve">De 301 a 600 </w:t>
            </w:r>
            <w:proofErr w:type="spellStart"/>
            <w:r w:rsidRPr="00E45DDD">
              <w:rPr>
                <w:rFonts w:asciiTheme="minorHAnsi" w:eastAsia="Arial" w:hAnsiTheme="minorHAnsi" w:cstheme="minorHAnsi"/>
                <w:sz w:val="24"/>
                <w:szCs w:val="24"/>
              </w:rPr>
              <w:t>pg</w:t>
            </w:r>
            <w:proofErr w:type="spellEnd"/>
            <w:r w:rsidRPr="00E45DDD">
              <w:rPr>
                <w:rFonts w:asciiTheme="minorHAnsi" w:eastAsia="Arial" w:hAnsiTheme="minorHAnsi" w:cstheme="minorHAnsi"/>
                <w:sz w:val="24"/>
                <w:szCs w:val="24"/>
              </w:rPr>
              <w:t>/ml</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15</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100,0</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15</w:t>
            </w:r>
          </w:p>
        </w:tc>
        <w:tc>
          <w:tcPr>
            <w:tcW w:w="553"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100,0</w:t>
            </w:r>
          </w:p>
        </w:tc>
      </w:tr>
      <w:tr w:rsidR="00E131C8" w:rsidRPr="00E45DDD" w:rsidTr="00AC124A">
        <w:tc>
          <w:tcPr>
            <w:tcW w:w="166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 xml:space="preserve">De 601 a 900 </w:t>
            </w:r>
            <w:proofErr w:type="spellStart"/>
            <w:r w:rsidRPr="00E45DDD">
              <w:rPr>
                <w:rFonts w:asciiTheme="minorHAnsi" w:eastAsia="Arial" w:hAnsiTheme="minorHAnsi" w:cstheme="minorHAnsi"/>
                <w:sz w:val="24"/>
                <w:szCs w:val="24"/>
              </w:rPr>
              <w:t>pg</w:t>
            </w:r>
            <w:proofErr w:type="spellEnd"/>
            <w:r w:rsidRPr="00E45DDD">
              <w:rPr>
                <w:rFonts w:asciiTheme="minorHAnsi" w:eastAsia="Arial" w:hAnsiTheme="minorHAnsi" w:cstheme="minorHAnsi"/>
                <w:sz w:val="24"/>
                <w:szCs w:val="24"/>
              </w:rPr>
              <w:t>/ml</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100,0</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rsidR="00E131C8" w:rsidRPr="00E45DDD" w:rsidRDefault="00E03F6B" w:rsidP="00AC124A">
            <w:pPr>
              <w:shd w:val="clear" w:color="auto" w:fill="FFFFFF"/>
              <w:spacing w:line="360" w:lineRule="auto"/>
              <w:jc w:val="both"/>
              <w:rPr>
                <w:rFonts w:asciiTheme="minorHAnsi" w:eastAsia="Arial" w:hAnsiTheme="minorHAnsi" w:cstheme="minorHAnsi"/>
                <w:sz w:val="24"/>
                <w:szCs w:val="24"/>
              </w:rPr>
            </w:pPr>
            <w:r>
              <w:rPr>
                <w:rFonts w:asciiTheme="minorHAnsi" w:eastAsia="Arial" w:hAnsiTheme="minorHAnsi" w:cstheme="minorHAnsi"/>
                <w:sz w:val="24"/>
                <w:szCs w:val="24"/>
              </w:rPr>
              <w:t>-</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100,0</w:t>
            </w:r>
          </w:p>
        </w:tc>
      </w:tr>
      <w:tr w:rsidR="00E131C8" w:rsidRPr="00E45DDD" w:rsidTr="00AC124A">
        <w:tc>
          <w:tcPr>
            <w:tcW w:w="1667"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 xml:space="preserve">Mayor o igual 901 </w:t>
            </w:r>
            <w:proofErr w:type="spellStart"/>
            <w:r w:rsidRPr="00E45DDD">
              <w:rPr>
                <w:rFonts w:asciiTheme="minorHAnsi" w:eastAsia="Arial" w:hAnsiTheme="minorHAnsi" w:cstheme="minorHAnsi"/>
                <w:sz w:val="24"/>
                <w:szCs w:val="24"/>
              </w:rPr>
              <w:t>pg</w:t>
            </w:r>
            <w:proofErr w:type="spellEnd"/>
            <w:r w:rsidRPr="00E45DDD">
              <w:rPr>
                <w:rFonts w:asciiTheme="minorHAnsi" w:eastAsia="Arial" w:hAnsiTheme="minorHAnsi" w:cstheme="minorHAnsi"/>
                <w:sz w:val="24"/>
                <w:szCs w:val="24"/>
              </w:rPr>
              <w:t>/ml</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25,0</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3</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75,0</w:t>
            </w:r>
          </w:p>
        </w:tc>
        <w:tc>
          <w:tcPr>
            <w:tcW w:w="556"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4</w:t>
            </w:r>
          </w:p>
        </w:tc>
        <w:tc>
          <w:tcPr>
            <w:tcW w:w="553" w:type="pct"/>
            <w:tcBorders>
              <w:top w:val="single" w:sz="4" w:space="0" w:color="auto"/>
              <w:left w:val="single" w:sz="4" w:space="0" w:color="auto"/>
              <w:bottom w:val="single" w:sz="4" w:space="0" w:color="auto"/>
              <w:right w:val="single" w:sz="4" w:space="0" w:color="auto"/>
            </w:tcBorders>
            <w:hideMark/>
          </w:tcPr>
          <w:p w:rsidR="00E131C8" w:rsidRPr="00E45DDD" w:rsidRDefault="00E131C8" w:rsidP="00AC124A">
            <w:pPr>
              <w:shd w:val="clear" w:color="auto" w:fill="FFFFFF"/>
              <w:spacing w:line="360" w:lineRule="auto"/>
              <w:jc w:val="both"/>
              <w:rPr>
                <w:rFonts w:asciiTheme="minorHAnsi" w:eastAsia="Arial" w:hAnsiTheme="minorHAnsi" w:cstheme="minorHAnsi"/>
                <w:sz w:val="24"/>
                <w:szCs w:val="24"/>
              </w:rPr>
            </w:pPr>
            <w:r w:rsidRPr="00E45DDD">
              <w:rPr>
                <w:rFonts w:asciiTheme="minorHAnsi" w:eastAsia="Arial" w:hAnsiTheme="minorHAnsi" w:cstheme="minorHAnsi"/>
                <w:sz w:val="24"/>
                <w:szCs w:val="24"/>
              </w:rPr>
              <w:t>100,0</w:t>
            </w:r>
          </w:p>
        </w:tc>
      </w:tr>
    </w:tbl>
    <w:p w:rsidR="00E131C8" w:rsidRDefault="00E131C8" w:rsidP="00E131C8">
      <w:pPr>
        <w:shd w:val="clear" w:color="auto" w:fill="FFFFFF"/>
        <w:spacing w:before="240" w:after="0" w:line="360" w:lineRule="auto"/>
        <w:jc w:val="both"/>
        <w:rPr>
          <w:rFonts w:eastAsia="Arial" w:cstheme="minorHAnsi"/>
          <w:sz w:val="24"/>
          <w:szCs w:val="24"/>
        </w:rPr>
      </w:pPr>
      <w:r>
        <w:rPr>
          <w:rFonts w:eastAsia="Arial" w:cstheme="minorHAnsi"/>
          <w:sz w:val="24"/>
          <w:szCs w:val="24"/>
        </w:rPr>
        <w:t xml:space="preserve">Fuente: Historias Clínicas </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Se precisan tres fallecidos por cardiopatía isquémica en el total de enfermos (12,0%). Es importante destacar que los tres decesos se asociaron a los máximos valores del pro-PNB, lo que representó el 75,0% de esta categoría del péptido (tabla 6). </w:t>
      </w:r>
    </w:p>
    <w:p w:rsidR="00E131C8" w:rsidRPr="00E45DDD" w:rsidRDefault="00E131C8" w:rsidP="00E131C8">
      <w:pPr>
        <w:shd w:val="clear" w:color="auto" w:fill="FFFFFF"/>
        <w:spacing w:before="240" w:after="0" w:line="360" w:lineRule="auto"/>
        <w:jc w:val="both"/>
        <w:rPr>
          <w:rFonts w:eastAsia="Arial" w:cstheme="minorHAnsi"/>
          <w:sz w:val="24"/>
          <w:szCs w:val="24"/>
        </w:rPr>
      </w:pPr>
    </w:p>
    <w:p w:rsidR="00E131C8" w:rsidRPr="00E45DDD" w:rsidRDefault="00E131C8" w:rsidP="00E131C8">
      <w:pPr>
        <w:shd w:val="clear" w:color="auto" w:fill="FFFFFF"/>
        <w:spacing w:before="240" w:after="0" w:line="360" w:lineRule="auto"/>
        <w:jc w:val="both"/>
        <w:rPr>
          <w:rFonts w:eastAsia="Arial" w:cstheme="minorHAnsi"/>
          <w:sz w:val="24"/>
          <w:szCs w:val="24"/>
        </w:rPr>
      </w:pPr>
    </w:p>
    <w:p w:rsidR="00E131C8" w:rsidRDefault="00E131C8" w:rsidP="00E131C8">
      <w:pPr>
        <w:shd w:val="clear" w:color="auto" w:fill="FFFFFF"/>
        <w:spacing w:before="240" w:after="0" w:line="360" w:lineRule="auto"/>
        <w:jc w:val="both"/>
        <w:rPr>
          <w:rFonts w:eastAsia="Arial" w:cstheme="minorHAnsi"/>
          <w:b/>
          <w:sz w:val="24"/>
          <w:szCs w:val="24"/>
        </w:rPr>
      </w:pPr>
      <w:r>
        <w:rPr>
          <w:rFonts w:eastAsia="Arial" w:cstheme="minorHAnsi"/>
          <w:b/>
          <w:sz w:val="24"/>
          <w:szCs w:val="24"/>
        </w:rPr>
        <w:lastRenderedPageBreak/>
        <w:t>D</w:t>
      </w:r>
      <w:r w:rsidRPr="00E45DDD">
        <w:rPr>
          <w:rFonts w:eastAsia="Arial" w:cstheme="minorHAnsi"/>
          <w:b/>
          <w:sz w:val="24"/>
          <w:szCs w:val="24"/>
        </w:rPr>
        <w:t xml:space="preserve">ISCUSIÓN </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La insuficiencia cardiaca constituye un síndrome que representa la etapa final de varias enfermedades que con el paso de los años van deteriorando la capacidad contráctil del corazón. Es responsable de una elevada morbilidad y mortalidad a nivel mundial y en nuestro país, con un alto impacto social, económico, sanitario y humano, contribuyendo al incremento del consumo del presupuesto del estado en gastos de hospitalización, medicación e intervención médica-quirúrgica</w:t>
      </w:r>
      <w:r>
        <w:rPr>
          <w:rFonts w:eastAsia="Arial" w:cstheme="minorHAnsi"/>
          <w:sz w:val="24"/>
          <w:szCs w:val="24"/>
        </w:rPr>
        <w:t xml:space="preserve"> </w:t>
      </w:r>
      <w:r w:rsidRPr="00C65F04">
        <w:rPr>
          <w:rFonts w:eastAsia="Arial" w:cstheme="minorHAnsi"/>
          <w:i/>
          <w:sz w:val="24"/>
          <w:szCs w:val="24"/>
        </w:rPr>
        <w:t>et al</w:t>
      </w:r>
      <w:r>
        <w:rPr>
          <w:rFonts w:eastAsia="Arial" w:cstheme="minorHAnsi"/>
          <w:i/>
          <w:sz w:val="24"/>
          <w:szCs w:val="24"/>
        </w:rPr>
        <w:t>.</w:t>
      </w:r>
      <w:r w:rsidRPr="00E45DDD">
        <w:rPr>
          <w:rFonts w:eastAsia="Arial" w:cstheme="minorHAnsi"/>
          <w:b/>
          <w:sz w:val="24"/>
          <w:szCs w:val="24"/>
          <w:vertAlign w:val="superscript"/>
        </w:rPr>
        <w:t xml:space="preserve"> 9</w:t>
      </w:r>
      <w:r w:rsidRPr="00E45DDD">
        <w:rPr>
          <w:rFonts w:eastAsia="Arial" w:cstheme="minorHAnsi"/>
          <w:sz w:val="24"/>
          <w:szCs w:val="24"/>
        </w:rPr>
        <w:t>.</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Desde los estudios de </w:t>
      </w:r>
      <w:proofErr w:type="spellStart"/>
      <w:r w:rsidRPr="00E45DDD">
        <w:rPr>
          <w:rFonts w:eastAsia="Arial" w:cstheme="minorHAnsi"/>
          <w:sz w:val="24"/>
          <w:szCs w:val="24"/>
        </w:rPr>
        <w:t>Framingham</w:t>
      </w:r>
      <w:proofErr w:type="spellEnd"/>
      <w:r w:rsidRPr="00E45DDD">
        <w:rPr>
          <w:rFonts w:eastAsia="Arial" w:cstheme="minorHAnsi"/>
          <w:sz w:val="24"/>
          <w:szCs w:val="24"/>
        </w:rPr>
        <w:t xml:space="preserve"> </w:t>
      </w:r>
      <w:r w:rsidRPr="00C65F04">
        <w:rPr>
          <w:rFonts w:eastAsia="Arial" w:cstheme="minorHAnsi"/>
          <w:i/>
          <w:sz w:val="24"/>
          <w:szCs w:val="24"/>
        </w:rPr>
        <w:t>et al.</w:t>
      </w:r>
      <w:r w:rsidRPr="00E45DDD">
        <w:rPr>
          <w:rFonts w:eastAsia="Arial" w:cstheme="minorHAnsi"/>
          <w:b/>
          <w:sz w:val="24"/>
          <w:szCs w:val="24"/>
          <w:vertAlign w:val="superscript"/>
        </w:rPr>
        <w:t>7</w:t>
      </w:r>
      <w:r w:rsidRPr="00E45DDD">
        <w:rPr>
          <w:rFonts w:eastAsia="Arial" w:cstheme="minorHAnsi"/>
          <w:sz w:val="24"/>
          <w:szCs w:val="24"/>
        </w:rPr>
        <w:t xml:space="preserve"> se han señalado varios factores de riesgo modificables como no modificables relacionados directamente con su incidencia, evolución, pronóstico y mortalidad de la insuficiencia cardiaca.</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Dentro de los factores de riesgo no modificables se citan la edad, asegurándose que su incidencia puede hasta duplicarse por cada década de años cumplidos, el sexo masculino, aunque llega a equilibrarse en la edad </w:t>
      </w:r>
      <w:proofErr w:type="spellStart"/>
      <w:r w:rsidRPr="00E45DDD">
        <w:rPr>
          <w:rFonts w:eastAsia="Arial" w:cstheme="minorHAnsi"/>
          <w:sz w:val="24"/>
          <w:szCs w:val="24"/>
        </w:rPr>
        <w:t>postmenopáusica</w:t>
      </w:r>
      <w:proofErr w:type="spellEnd"/>
      <w:r w:rsidRPr="00E45DDD">
        <w:rPr>
          <w:rFonts w:eastAsia="Arial" w:cstheme="minorHAnsi"/>
          <w:sz w:val="24"/>
          <w:szCs w:val="24"/>
        </w:rPr>
        <w:t xml:space="preserve"> en la mujer, y el color de la piel negro. La herencia juega un papel importante en su aparición, relacionado directamente con las enfermedades de base que en su historia natural pueden llegar a evolucionar hacia un cuadro de disfunción cardiovascular.</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En lo referente al sexo femenino, estos resultados se contradicen parcialmente con los reportes estadísticos relacionados con el tema, donde la insuficiencia</w:t>
      </w:r>
      <w:r>
        <w:rPr>
          <w:rFonts w:eastAsia="Arial" w:cstheme="minorHAnsi"/>
          <w:sz w:val="24"/>
          <w:szCs w:val="24"/>
        </w:rPr>
        <w:t xml:space="preserve"> </w:t>
      </w:r>
      <w:r w:rsidRPr="00E45DDD">
        <w:rPr>
          <w:rFonts w:eastAsia="Arial" w:cstheme="minorHAnsi"/>
          <w:sz w:val="24"/>
          <w:szCs w:val="24"/>
        </w:rPr>
        <w:t>cardiaca es más frecuente en el sexo masculino, pero pudiera justificarse por</w:t>
      </w:r>
      <w:r>
        <w:rPr>
          <w:rFonts w:eastAsia="Arial" w:cstheme="minorHAnsi"/>
          <w:sz w:val="24"/>
          <w:szCs w:val="24"/>
        </w:rPr>
        <w:t xml:space="preserve"> </w:t>
      </w:r>
      <w:r w:rsidRPr="00E45DDD">
        <w:rPr>
          <w:rFonts w:eastAsia="Arial" w:cstheme="minorHAnsi"/>
          <w:sz w:val="24"/>
          <w:szCs w:val="24"/>
        </w:rPr>
        <w:t xml:space="preserve">déficit </w:t>
      </w:r>
      <w:proofErr w:type="spellStart"/>
      <w:r w:rsidRPr="00E45DDD">
        <w:rPr>
          <w:rFonts w:eastAsia="Arial" w:cstheme="minorHAnsi"/>
          <w:sz w:val="24"/>
          <w:szCs w:val="24"/>
        </w:rPr>
        <w:t>estrogénico</w:t>
      </w:r>
      <w:proofErr w:type="spellEnd"/>
      <w:r w:rsidRPr="00E45DDD">
        <w:rPr>
          <w:rFonts w:eastAsia="Arial" w:cstheme="minorHAnsi"/>
          <w:sz w:val="24"/>
          <w:szCs w:val="24"/>
        </w:rPr>
        <w:t xml:space="preserve"> existente en la edad </w:t>
      </w:r>
      <w:proofErr w:type="spellStart"/>
      <w:r w:rsidRPr="00E45DDD">
        <w:rPr>
          <w:rFonts w:eastAsia="Arial" w:cstheme="minorHAnsi"/>
          <w:sz w:val="24"/>
          <w:szCs w:val="24"/>
        </w:rPr>
        <w:t>postmenopáusica</w:t>
      </w:r>
      <w:proofErr w:type="spellEnd"/>
      <w:r w:rsidRPr="00E45DDD">
        <w:rPr>
          <w:rFonts w:eastAsia="Arial" w:cstheme="minorHAnsi"/>
          <w:sz w:val="24"/>
          <w:szCs w:val="24"/>
        </w:rPr>
        <w:t xml:space="preserve"> de la mujer, que por su efecto protector predispone a la aparición de enfermedades cardiovasculares en el sexo femenino igualando y hasta superando la incidencia en relación con el sexo masculino.</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En relación con la edad, la mayor incidencia se presentó en pacientes mayores de 71 años. Lo cual coincide con el estudio de </w:t>
      </w:r>
      <w:proofErr w:type="spellStart"/>
      <w:r w:rsidRPr="00E45DDD">
        <w:rPr>
          <w:rFonts w:eastAsia="Arial" w:cstheme="minorHAnsi"/>
          <w:sz w:val="24"/>
          <w:szCs w:val="24"/>
        </w:rPr>
        <w:t>Framingham</w:t>
      </w:r>
      <w:proofErr w:type="spellEnd"/>
      <w:r>
        <w:rPr>
          <w:rFonts w:eastAsia="Arial" w:cstheme="minorHAnsi"/>
          <w:sz w:val="24"/>
          <w:szCs w:val="24"/>
        </w:rPr>
        <w:t xml:space="preserve"> </w:t>
      </w:r>
      <w:r w:rsidRPr="00C65F04">
        <w:rPr>
          <w:rFonts w:eastAsia="Arial" w:cstheme="minorHAnsi"/>
          <w:i/>
          <w:sz w:val="24"/>
          <w:szCs w:val="24"/>
        </w:rPr>
        <w:t>et al</w:t>
      </w:r>
      <w:r w:rsidR="00187ECD">
        <w:rPr>
          <w:rFonts w:eastAsia="Arial" w:cstheme="minorHAnsi"/>
          <w:i/>
          <w:sz w:val="24"/>
          <w:szCs w:val="24"/>
        </w:rPr>
        <w:t>.</w:t>
      </w:r>
      <w:r w:rsidRPr="00E45DDD">
        <w:rPr>
          <w:rFonts w:eastAsia="Arial" w:cstheme="minorHAnsi"/>
          <w:b/>
          <w:sz w:val="24"/>
          <w:szCs w:val="24"/>
          <w:vertAlign w:val="superscript"/>
        </w:rPr>
        <w:t xml:space="preserve"> 7</w:t>
      </w:r>
      <w:r w:rsidRPr="00E45DDD">
        <w:rPr>
          <w:rFonts w:eastAsia="Arial" w:cstheme="minorHAnsi"/>
          <w:sz w:val="24"/>
          <w:szCs w:val="24"/>
        </w:rPr>
        <w:t>, en el que se plantea ésta aumenta un 10 % en la población mayor de 70 años.</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lastRenderedPageBreak/>
        <w:t>Dentro de los factores de riesgo no modificables, predominó en esta investigación la herencia, seguido de la edad mayor de 70 años; en el caso de los modificables fueron la HTA y el sedentarismo, respectivamente. Todo lo anterior caracteriza demográficamente nuestra población envejecida, de raza negra, con malos hábitos dietéticos y estilos de vida poco saludables que contribuyen a la aparición de enfermedades cardiovasculares que se trasmiten genéticamente de generación en generación. Estos resultados coinciden con otras investigaciones relacionadas con el tema como las publicadas en los archivos brasileños de cardiología sobre el perfil epidemiológico, clínico y terapéutico de la insuficiencia cardiaca en el hospital terciario</w:t>
      </w:r>
      <w:r w:rsidR="00187ECD">
        <w:rPr>
          <w:rFonts w:eastAsia="Arial" w:cstheme="minorHAnsi"/>
          <w:sz w:val="24"/>
          <w:szCs w:val="24"/>
        </w:rPr>
        <w:t xml:space="preserve"> </w:t>
      </w:r>
      <w:r w:rsidR="00187ECD" w:rsidRPr="00187ECD">
        <w:rPr>
          <w:rFonts w:eastAsia="Arial" w:cstheme="minorHAnsi"/>
          <w:i/>
          <w:sz w:val="24"/>
          <w:szCs w:val="24"/>
        </w:rPr>
        <w:t>et al.</w:t>
      </w:r>
      <w:r w:rsidRPr="00E45DDD">
        <w:rPr>
          <w:rFonts w:eastAsia="Arial" w:cstheme="minorHAnsi"/>
          <w:sz w:val="24"/>
          <w:szCs w:val="24"/>
        </w:rPr>
        <w:t xml:space="preserve"> </w:t>
      </w:r>
      <w:r w:rsidRPr="00E45DDD">
        <w:rPr>
          <w:rFonts w:eastAsia="Arial" w:cstheme="minorHAnsi"/>
          <w:b/>
          <w:sz w:val="24"/>
          <w:szCs w:val="24"/>
          <w:vertAlign w:val="superscript"/>
        </w:rPr>
        <w:t>10</w:t>
      </w:r>
      <w:r w:rsidRPr="00E45DDD">
        <w:rPr>
          <w:rFonts w:eastAsia="Arial" w:cstheme="minorHAnsi"/>
          <w:sz w:val="24"/>
          <w:szCs w:val="24"/>
        </w:rPr>
        <w:t xml:space="preserve">  y las guías de la American </w:t>
      </w:r>
      <w:proofErr w:type="spellStart"/>
      <w:r w:rsidRPr="00E45DDD">
        <w:rPr>
          <w:rFonts w:eastAsia="Arial" w:cstheme="minorHAnsi"/>
          <w:sz w:val="24"/>
          <w:szCs w:val="24"/>
        </w:rPr>
        <w:t>Heart</w:t>
      </w:r>
      <w:proofErr w:type="spellEnd"/>
      <w:r w:rsidRPr="00E45DDD">
        <w:rPr>
          <w:rFonts w:eastAsia="Arial" w:cstheme="minorHAnsi"/>
          <w:sz w:val="24"/>
          <w:szCs w:val="24"/>
        </w:rPr>
        <w:t xml:space="preserve"> </w:t>
      </w:r>
      <w:proofErr w:type="spellStart"/>
      <w:r w:rsidRPr="00E45DDD">
        <w:rPr>
          <w:rFonts w:eastAsia="Arial" w:cstheme="minorHAnsi"/>
          <w:sz w:val="24"/>
          <w:szCs w:val="24"/>
        </w:rPr>
        <w:t>Association</w:t>
      </w:r>
      <w:proofErr w:type="spellEnd"/>
      <w:r w:rsidRPr="00E45DDD">
        <w:rPr>
          <w:rFonts w:eastAsia="Arial" w:cstheme="minorHAnsi"/>
          <w:sz w:val="24"/>
          <w:szCs w:val="24"/>
        </w:rPr>
        <w:t xml:space="preserve">/American </w:t>
      </w:r>
      <w:proofErr w:type="spellStart"/>
      <w:r w:rsidRPr="00E45DDD">
        <w:rPr>
          <w:rFonts w:eastAsia="Arial" w:cstheme="minorHAnsi"/>
          <w:sz w:val="24"/>
          <w:szCs w:val="24"/>
        </w:rPr>
        <w:t>College</w:t>
      </w:r>
      <w:proofErr w:type="spellEnd"/>
      <w:r w:rsidRPr="00E45DDD">
        <w:rPr>
          <w:rFonts w:eastAsia="Arial" w:cstheme="minorHAnsi"/>
          <w:sz w:val="24"/>
          <w:szCs w:val="24"/>
        </w:rPr>
        <w:t xml:space="preserve"> of </w:t>
      </w:r>
      <w:proofErr w:type="spellStart"/>
      <w:r w:rsidRPr="00E45DDD">
        <w:rPr>
          <w:rFonts w:eastAsia="Arial" w:cstheme="minorHAnsi"/>
          <w:sz w:val="24"/>
          <w:szCs w:val="24"/>
        </w:rPr>
        <w:t>Cardiology</w:t>
      </w:r>
      <w:proofErr w:type="spellEnd"/>
      <w:r w:rsidRPr="00E45DDD">
        <w:rPr>
          <w:rFonts w:eastAsia="Arial" w:cstheme="minorHAnsi"/>
          <w:sz w:val="24"/>
          <w:szCs w:val="24"/>
        </w:rPr>
        <w:t xml:space="preserve"> de evaluación y tratamiento de la insuficiencia cardiaca crónica del adulto.</w:t>
      </w:r>
      <w:r w:rsidRPr="00C65F04">
        <w:rPr>
          <w:rFonts w:eastAsia="Arial" w:cstheme="minorHAnsi"/>
          <w:i/>
          <w:sz w:val="24"/>
          <w:szCs w:val="24"/>
        </w:rPr>
        <w:t xml:space="preserve"> </w:t>
      </w:r>
      <w:r w:rsidRPr="00E45DDD">
        <w:rPr>
          <w:rFonts w:eastAsia="Arial" w:cstheme="minorHAnsi"/>
          <w:b/>
          <w:sz w:val="24"/>
          <w:szCs w:val="24"/>
          <w:vertAlign w:val="superscript"/>
        </w:rPr>
        <w:t>11</w:t>
      </w:r>
      <w:r>
        <w:rPr>
          <w:rFonts w:eastAsia="Arial" w:cstheme="minorHAnsi"/>
          <w:b/>
          <w:sz w:val="24"/>
          <w:szCs w:val="24"/>
          <w:vertAlign w:val="superscript"/>
        </w:rPr>
        <w:t xml:space="preserve"> </w:t>
      </w:r>
      <w:r w:rsidRPr="00E45DDD">
        <w:rPr>
          <w:rFonts w:eastAsia="Arial" w:cstheme="minorHAnsi"/>
          <w:sz w:val="24"/>
          <w:szCs w:val="24"/>
        </w:rPr>
        <w:t>En lo referente a estos resultados, cabe destacar que precisamente la cardiopatía hipertensiva y la cardiopatía isquémica constituyen las causas más frecuentes de dicho padecimiento, ambas resultantes de la disfunción endotelial,</w:t>
      </w:r>
      <w:r>
        <w:rPr>
          <w:rFonts w:eastAsia="Arial" w:cstheme="minorHAnsi"/>
          <w:sz w:val="24"/>
          <w:szCs w:val="24"/>
        </w:rPr>
        <w:t xml:space="preserve"> </w:t>
      </w:r>
      <w:r w:rsidRPr="00E45DDD">
        <w:rPr>
          <w:rFonts w:eastAsia="Arial" w:cstheme="minorHAnsi"/>
          <w:sz w:val="24"/>
          <w:szCs w:val="24"/>
        </w:rPr>
        <w:t>siendo complicaciones propias de su historia natural.</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Este resultado no contradice, los obtenidos en el estudio de </w:t>
      </w:r>
      <w:proofErr w:type="spellStart"/>
      <w:r w:rsidRPr="00E45DDD">
        <w:rPr>
          <w:rFonts w:eastAsia="Arial" w:cstheme="minorHAnsi"/>
          <w:sz w:val="24"/>
          <w:szCs w:val="24"/>
        </w:rPr>
        <w:t>Framingham</w:t>
      </w:r>
      <w:proofErr w:type="spellEnd"/>
      <w:r>
        <w:rPr>
          <w:rFonts w:eastAsia="Arial" w:cstheme="minorHAnsi"/>
          <w:sz w:val="24"/>
          <w:szCs w:val="24"/>
        </w:rPr>
        <w:t xml:space="preserve"> </w:t>
      </w:r>
      <w:proofErr w:type="gramStart"/>
      <w:r w:rsidRPr="00E45DDD">
        <w:rPr>
          <w:rFonts w:eastAsia="Arial" w:cstheme="minorHAnsi"/>
          <w:b/>
          <w:sz w:val="24"/>
          <w:szCs w:val="24"/>
          <w:vertAlign w:val="superscript"/>
        </w:rPr>
        <w:t>7</w:t>
      </w:r>
      <w:r w:rsidRPr="00E45DDD">
        <w:rPr>
          <w:rFonts w:eastAsia="Arial" w:cstheme="minorHAnsi"/>
          <w:sz w:val="24"/>
          <w:szCs w:val="24"/>
        </w:rPr>
        <w:t xml:space="preserve"> ,</w:t>
      </w:r>
      <w:proofErr w:type="gramEnd"/>
      <w:r w:rsidRPr="00E45DDD">
        <w:rPr>
          <w:rFonts w:eastAsia="Arial" w:cstheme="minorHAnsi"/>
          <w:sz w:val="24"/>
          <w:szCs w:val="24"/>
        </w:rPr>
        <w:t xml:space="preserve"> en el que se señala que la incidencia de insuficiencia cardiaca puede duplicarse en pacientes hipertensos y se quintuplica en supervivientes a un infarto de miocardio</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Constituyen la cardiopatía isquémica y la cardiopatía hipertensiva las causas más frecuentes de insuficiencia cardiaca en los pacientes estudiados, lo cual se relaciona con los factores de riesgo tanto modificables como no modificables, resultante de la lesión endotelial. Se destaca que para ambas enfermedades se estimó una evolución más rápida.</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La cardiopatía hipertensiva fue la que registró mayor número de enfermos. Esto demuestra la esencia patogénica de esta entidad definida: como el estado </w:t>
      </w:r>
      <w:proofErr w:type="spellStart"/>
      <w:r w:rsidRPr="00E45DDD">
        <w:rPr>
          <w:rFonts w:eastAsia="Arial" w:cstheme="minorHAnsi"/>
          <w:sz w:val="24"/>
          <w:szCs w:val="24"/>
        </w:rPr>
        <w:t>fisiopatológico</w:t>
      </w:r>
      <w:proofErr w:type="spellEnd"/>
      <w:r w:rsidRPr="00E45DDD">
        <w:rPr>
          <w:rFonts w:eastAsia="Arial" w:cstheme="minorHAnsi"/>
          <w:sz w:val="24"/>
          <w:szCs w:val="24"/>
        </w:rPr>
        <w:t xml:space="preserve"> y clínico en el cual el corazón es incapaz de aportar sangre de acuerdo con los requerimientos metabólicos periféricos</w:t>
      </w:r>
      <w:r w:rsidRPr="00E45DDD">
        <w:rPr>
          <w:rFonts w:eastAsia="Arial" w:cstheme="minorHAnsi"/>
          <w:b/>
          <w:sz w:val="24"/>
          <w:szCs w:val="24"/>
          <w:vertAlign w:val="superscript"/>
        </w:rPr>
        <w:t>4</w:t>
      </w:r>
      <w:r w:rsidRPr="00E45DDD">
        <w:rPr>
          <w:rFonts w:eastAsia="Arial" w:cstheme="minorHAnsi"/>
          <w:sz w:val="24"/>
          <w:szCs w:val="24"/>
        </w:rPr>
        <w:t xml:space="preserve"> , lo cual se inicia a partir de un episodio que produce una disminución en la capacidad de bomba del corazón</w:t>
      </w:r>
      <w:r>
        <w:rPr>
          <w:rFonts w:eastAsia="Arial" w:cstheme="minorHAnsi"/>
          <w:sz w:val="24"/>
          <w:szCs w:val="24"/>
        </w:rPr>
        <w:t xml:space="preserve"> </w:t>
      </w:r>
      <w:r w:rsidRPr="00E131C8">
        <w:rPr>
          <w:rFonts w:eastAsia="Arial" w:cstheme="minorHAnsi"/>
          <w:i/>
          <w:sz w:val="24"/>
          <w:szCs w:val="24"/>
        </w:rPr>
        <w:t>et al.</w:t>
      </w:r>
      <w:r w:rsidRPr="00E45DDD">
        <w:rPr>
          <w:rFonts w:eastAsia="Arial" w:cstheme="minorHAnsi"/>
          <w:b/>
          <w:sz w:val="24"/>
          <w:szCs w:val="24"/>
          <w:vertAlign w:val="superscript"/>
        </w:rPr>
        <w:t>2</w:t>
      </w:r>
      <w:r w:rsidRPr="00E45DDD">
        <w:rPr>
          <w:rFonts w:eastAsia="Arial" w:cstheme="minorHAnsi"/>
          <w:sz w:val="24"/>
          <w:szCs w:val="24"/>
        </w:rPr>
        <w:t xml:space="preserve"> , siendo distintivo de este padecimiento el creciente remodelado adaptativo del miocardio</w:t>
      </w:r>
      <w:r w:rsidRPr="00E45DDD">
        <w:rPr>
          <w:rFonts w:eastAsia="Arial" w:cstheme="minorHAnsi"/>
          <w:b/>
          <w:sz w:val="24"/>
          <w:szCs w:val="24"/>
          <w:vertAlign w:val="superscript"/>
        </w:rPr>
        <w:t>12</w:t>
      </w:r>
      <w:r w:rsidRPr="00E45DDD">
        <w:rPr>
          <w:rFonts w:eastAsia="Arial" w:cstheme="minorHAnsi"/>
          <w:sz w:val="24"/>
          <w:szCs w:val="24"/>
        </w:rPr>
        <w:t xml:space="preserve">; como consecuencia de la incapacidad de los ventrículos de llenarse y bombear sangre de </w:t>
      </w:r>
      <w:r w:rsidRPr="00E45DDD">
        <w:rPr>
          <w:rFonts w:eastAsia="Arial" w:cstheme="minorHAnsi"/>
          <w:sz w:val="24"/>
          <w:szCs w:val="24"/>
        </w:rPr>
        <w:lastRenderedPageBreak/>
        <w:t>manera satisfactoria.</w:t>
      </w:r>
      <w:r w:rsidRPr="00E131C8">
        <w:rPr>
          <w:rFonts w:eastAsia="Arial" w:cstheme="minorHAnsi"/>
          <w:i/>
          <w:sz w:val="24"/>
          <w:szCs w:val="24"/>
        </w:rPr>
        <w:t xml:space="preserve"> </w:t>
      </w:r>
      <w:proofErr w:type="gramStart"/>
      <w:r w:rsidRPr="00E131C8">
        <w:rPr>
          <w:rFonts w:eastAsia="Arial" w:cstheme="minorHAnsi"/>
          <w:i/>
          <w:sz w:val="24"/>
          <w:szCs w:val="24"/>
        </w:rPr>
        <w:t>et</w:t>
      </w:r>
      <w:proofErr w:type="gramEnd"/>
      <w:r w:rsidRPr="00E131C8">
        <w:rPr>
          <w:rFonts w:eastAsia="Arial" w:cstheme="minorHAnsi"/>
          <w:i/>
          <w:sz w:val="24"/>
          <w:szCs w:val="24"/>
        </w:rPr>
        <w:t xml:space="preserve"> al.</w:t>
      </w:r>
      <w:r w:rsidRPr="00E45DDD">
        <w:rPr>
          <w:rFonts w:eastAsia="Arial" w:cstheme="minorHAnsi"/>
          <w:b/>
          <w:sz w:val="24"/>
          <w:szCs w:val="24"/>
          <w:vertAlign w:val="superscript"/>
        </w:rPr>
        <w:t>2</w:t>
      </w:r>
      <w:r w:rsidRPr="00E45DDD">
        <w:rPr>
          <w:rFonts w:eastAsia="Arial" w:cstheme="minorHAnsi"/>
          <w:sz w:val="24"/>
          <w:szCs w:val="24"/>
        </w:rPr>
        <w:t xml:space="preserve"> Por tal manera, resulta el extremo final común de muchas de las enfermedades más prevalentes, como es la hipertensión arterial.</w:t>
      </w:r>
      <w:r w:rsidRPr="00E131C8">
        <w:rPr>
          <w:rFonts w:eastAsia="Arial" w:cstheme="minorHAnsi"/>
          <w:i/>
          <w:sz w:val="24"/>
          <w:szCs w:val="24"/>
        </w:rPr>
        <w:t xml:space="preserve"> </w:t>
      </w:r>
      <w:proofErr w:type="gramStart"/>
      <w:r w:rsidRPr="00E131C8">
        <w:rPr>
          <w:rFonts w:eastAsia="Arial" w:cstheme="minorHAnsi"/>
          <w:i/>
          <w:sz w:val="24"/>
          <w:szCs w:val="24"/>
        </w:rPr>
        <w:t>et</w:t>
      </w:r>
      <w:proofErr w:type="gramEnd"/>
      <w:r w:rsidRPr="00E131C8">
        <w:rPr>
          <w:rFonts w:eastAsia="Arial" w:cstheme="minorHAnsi"/>
          <w:i/>
          <w:sz w:val="24"/>
          <w:szCs w:val="24"/>
        </w:rPr>
        <w:t xml:space="preserve"> al.</w:t>
      </w:r>
      <w:r w:rsidRPr="00E45DDD">
        <w:rPr>
          <w:rFonts w:eastAsia="Arial" w:cstheme="minorHAnsi"/>
          <w:b/>
          <w:sz w:val="24"/>
          <w:szCs w:val="24"/>
          <w:vertAlign w:val="superscript"/>
        </w:rPr>
        <w:t>2</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Es notorio señalar que el mayor porcentaje de los pacientes desarrollaron insuficiencia cardiaca en los primeros cinco años de evolución de su enfermedad cardiovascular y solo la cardiopatía hipertensiva resultó ser la causa de insuficiencia cardiaca en un mayor número de pacientes con el transcurso del tiempo y es que a medida que pasan los años es mayor la lesión endotelial resultante del aumento de la resistencia vascular periférica, lo cual conduce a la disfunción sistólica, además se precisa de un determinado período de tiempo</w:t>
      </w:r>
      <w:r>
        <w:rPr>
          <w:rFonts w:eastAsia="Arial" w:cstheme="minorHAnsi"/>
          <w:sz w:val="24"/>
          <w:szCs w:val="24"/>
        </w:rPr>
        <w:t xml:space="preserve"> </w:t>
      </w:r>
      <w:r w:rsidRPr="00E45DDD">
        <w:rPr>
          <w:rFonts w:eastAsia="Arial" w:cstheme="minorHAnsi"/>
          <w:sz w:val="24"/>
          <w:szCs w:val="24"/>
        </w:rPr>
        <w:t xml:space="preserve">para que se produzca la hipertrofia del </w:t>
      </w:r>
      <w:proofErr w:type="spellStart"/>
      <w:r w:rsidRPr="00E45DDD">
        <w:rPr>
          <w:rFonts w:eastAsia="Arial" w:cstheme="minorHAnsi"/>
          <w:sz w:val="24"/>
          <w:szCs w:val="24"/>
        </w:rPr>
        <w:t>septum</w:t>
      </w:r>
      <w:proofErr w:type="spellEnd"/>
      <w:r w:rsidRPr="00E45DDD">
        <w:rPr>
          <w:rFonts w:eastAsia="Arial" w:cstheme="minorHAnsi"/>
          <w:sz w:val="24"/>
          <w:szCs w:val="24"/>
        </w:rPr>
        <w:t xml:space="preserve"> interventricular y de la pared libre</w:t>
      </w:r>
      <w:r>
        <w:rPr>
          <w:rFonts w:eastAsia="Arial" w:cstheme="minorHAnsi"/>
          <w:sz w:val="24"/>
          <w:szCs w:val="24"/>
        </w:rPr>
        <w:t xml:space="preserve"> </w:t>
      </w:r>
      <w:r w:rsidRPr="00E45DDD">
        <w:rPr>
          <w:rFonts w:eastAsia="Arial" w:cstheme="minorHAnsi"/>
          <w:sz w:val="24"/>
          <w:szCs w:val="24"/>
        </w:rPr>
        <w:t>del ventrículo responsable de la disfunción diastólica que conlleva a la insuficiencia cardiaca.</w:t>
      </w:r>
      <w:r w:rsidRPr="00E45DDD">
        <w:rPr>
          <w:rFonts w:eastAsia="Arial" w:cstheme="minorHAnsi"/>
          <w:b/>
          <w:sz w:val="24"/>
          <w:szCs w:val="24"/>
          <w:vertAlign w:val="superscript"/>
        </w:rPr>
        <w:t>13</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Por otro lado, la cardiopatía isquémica y la </w:t>
      </w:r>
      <w:proofErr w:type="spellStart"/>
      <w:r w:rsidRPr="00E45DDD">
        <w:rPr>
          <w:rFonts w:eastAsia="Arial" w:cstheme="minorHAnsi"/>
          <w:sz w:val="24"/>
          <w:szCs w:val="24"/>
        </w:rPr>
        <w:t>miocardiopatía</w:t>
      </w:r>
      <w:proofErr w:type="spellEnd"/>
      <w:r w:rsidRPr="00E45DDD">
        <w:rPr>
          <w:rFonts w:eastAsia="Arial" w:cstheme="minorHAnsi"/>
          <w:sz w:val="24"/>
          <w:szCs w:val="24"/>
        </w:rPr>
        <w:t xml:space="preserve">, implican una elevada mortalidad en los primeros años de evolución de las mismas, a pesar de los avances terapéuticos con los que se dispone en la actualidad, sin dejar de mencionar que muchos de estos pacientes en los estadios iniciales cursan </w:t>
      </w:r>
      <w:proofErr w:type="spellStart"/>
      <w:r w:rsidRPr="00E45DDD">
        <w:rPr>
          <w:rFonts w:eastAsia="Arial" w:cstheme="minorHAnsi"/>
          <w:sz w:val="24"/>
          <w:szCs w:val="24"/>
        </w:rPr>
        <w:t>subclínicos</w:t>
      </w:r>
      <w:proofErr w:type="spellEnd"/>
      <w:r w:rsidRPr="00E45DDD">
        <w:rPr>
          <w:rFonts w:eastAsia="Arial" w:cstheme="minorHAnsi"/>
          <w:sz w:val="24"/>
          <w:szCs w:val="24"/>
        </w:rPr>
        <w:t>, y cuando se realiza el diagnóstico ya se encuentran en una enfermedad avanzada e irreversible. Es que los primeros segundos, tras el cese del flujo coronario, en el caso de la cardiopatía isquémica, se agotan el oxígeno y los fosfatos de alta energía en la zona isquémica y el metabolismo se convierten en anaerobio, aparece acidosis y se liberan lactatos y potasio. Como consecuencia, disminuye la relajación ventricular y aparece disfunción diastólica, seguido por una disminución de su actividad contráctil con disfunción ventricular sistólica.</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 xml:space="preserve">Es conocido que la afectación </w:t>
      </w:r>
      <w:proofErr w:type="spellStart"/>
      <w:r w:rsidRPr="00E45DDD">
        <w:rPr>
          <w:rFonts w:eastAsia="Arial" w:cstheme="minorHAnsi"/>
          <w:sz w:val="24"/>
          <w:szCs w:val="24"/>
        </w:rPr>
        <w:t>miocárdica</w:t>
      </w:r>
      <w:proofErr w:type="spellEnd"/>
      <w:r w:rsidRPr="00E45DDD">
        <w:rPr>
          <w:rFonts w:eastAsia="Arial" w:cstheme="minorHAnsi"/>
          <w:sz w:val="24"/>
          <w:szCs w:val="24"/>
        </w:rPr>
        <w:t xml:space="preserve"> se inicia y se establece durante un periodo de tiempo sin evidencias clínicas, por tanto, el diagnóstico precoz de insuficiencia cardiaca no se puede basar exclusivamente en los criterios clínicos, de ahí el valor de biomarcadores como el PNB en el diagnóstico de la etiología de la disnea, la pesquisa de pacientes con disfunción ventricular izquierda, la estratificación de riesgo, el pronóstico y la monitorización del tratamiento.</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lastRenderedPageBreak/>
        <w:t>El descubrimiento de biomarcadores específicos de una enfermedad brinda la única oportunidad de adelantarse al diagnóstico clínico de esta entidad. Aporta ventajas en el tratamiento de los pacientes que se v</w:t>
      </w:r>
      <w:r>
        <w:rPr>
          <w:rFonts w:eastAsia="Arial" w:cstheme="minorHAnsi"/>
          <w:sz w:val="24"/>
          <w:szCs w:val="24"/>
        </w:rPr>
        <w:t xml:space="preserve">en reflejados en los desenlaces </w:t>
      </w:r>
      <w:r w:rsidRPr="00E131C8">
        <w:rPr>
          <w:rFonts w:eastAsia="Arial" w:cstheme="minorHAnsi"/>
          <w:i/>
          <w:sz w:val="24"/>
          <w:szCs w:val="24"/>
        </w:rPr>
        <w:t>et al.</w:t>
      </w:r>
      <w:r w:rsidRPr="00E131C8">
        <w:rPr>
          <w:rFonts w:eastAsia="Arial" w:cstheme="minorHAnsi"/>
          <w:i/>
          <w:sz w:val="24"/>
          <w:szCs w:val="24"/>
          <w:vertAlign w:val="superscript"/>
        </w:rPr>
        <w:t>2</w:t>
      </w:r>
      <w:r>
        <w:rPr>
          <w:rFonts w:eastAsia="Arial" w:cstheme="minorHAnsi"/>
          <w:i/>
          <w:sz w:val="24"/>
          <w:szCs w:val="24"/>
          <w:vertAlign w:val="superscript"/>
        </w:rPr>
        <w:t xml:space="preserve"> </w:t>
      </w:r>
      <w:r w:rsidRPr="00E45DDD">
        <w:rPr>
          <w:rFonts w:eastAsia="Arial" w:cstheme="minorHAnsi"/>
          <w:sz w:val="24"/>
          <w:szCs w:val="24"/>
        </w:rPr>
        <w:t xml:space="preserve">El péptido natriurético cerebral constituye un biomarcador ampliamente estudiado y de validación clínica en la insuficiencia cardiaca no solo para establecer el diagnóstico en las fases </w:t>
      </w:r>
      <w:proofErr w:type="spellStart"/>
      <w:r w:rsidRPr="00E45DDD">
        <w:rPr>
          <w:rFonts w:eastAsia="Arial" w:cstheme="minorHAnsi"/>
          <w:sz w:val="24"/>
          <w:szCs w:val="24"/>
        </w:rPr>
        <w:t>preclínicas</w:t>
      </w:r>
      <w:proofErr w:type="spellEnd"/>
      <w:r w:rsidRPr="00E45DDD">
        <w:rPr>
          <w:rFonts w:eastAsia="Arial" w:cstheme="minorHAnsi"/>
          <w:sz w:val="24"/>
          <w:szCs w:val="24"/>
        </w:rPr>
        <w:t xml:space="preserve">, sino para evaluar respuestas terapéuticas y realizar predicciones </w:t>
      </w:r>
      <w:proofErr w:type="spellStart"/>
      <w:r w:rsidRPr="00E45DDD">
        <w:rPr>
          <w:rFonts w:eastAsia="Arial" w:cstheme="minorHAnsi"/>
          <w:sz w:val="24"/>
          <w:szCs w:val="24"/>
        </w:rPr>
        <w:t>pronósticas</w:t>
      </w:r>
      <w:proofErr w:type="spellEnd"/>
      <w:r w:rsidRPr="00E45DDD">
        <w:rPr>
          <w:rFonts w:eastAsia="Arial" w:cstheme="minorHAnsi"/>
          <w:sz w:val="24"/>
          <w:szCs w:val="24"/>
        </w:rPr>
        <w:t xml:space="preserve"> que permitan tomar decisiones terapéuticas oportunas con el fin de obtener un desenlace adecuado.</w:t>
      </w:r>
    </w:p>
    <w:p w:rsidR="00E131C8" w:rsidRPr="00C0402F" w:rsidRDefault="00E131C8" w:rsidP="00E131C8">
      <w:pPr>
        <w:shd w:val="clear" w:color="auto" w:fill="FFFFFF"/>
        <w:spacing w:before="240" w:after="0" w:line="360" w:lineRule="auto"/>
        <w:jc w:val="both"/>
        <w:rPr>
          <w:rFonts w:eastAsia="Arial" w:cstheme="minorHAnsi"/>
          <w:sz w:val="24"/>
          <w:szCs w:val="24"/>
          <w:vertAlign w:val="superscript"/>
        </w:rPr>
      </w:pPr>
      <w:r w:rsidRPr="00E45DDD">
        <w:rPr>
          <w:rFonts w:eastAsia="Arial" w:cstheme="minorHAnsi"/>
          <w:sz w:val="24"/>
          <w:szCs w:val="24"/>
        </w:rPr>
        <w:t>La determinación del valor del PNB constituye una herramienta útil para</w:t>
      </w:r>
      <w:r>
        <w:rPr>
          <w:rFonts w:eastAsia="Arial" w:cstheme="minorHAnsi"/>
          <w:sz w:val="24"/>
          <w:szCs w:val="24"/>
        </w:rPr>
        <w:t xml:space="preserve"> </w:t>
      </w:r>
      <w:r w:rsidRPr="00E45DDD">
        <w:rPr>
          <w:rFonts w:eastAsia="Arial" w:cstheme="minorHAnsi"/>
          <w:sz w:val="24"/>
          <w:szCs w:val="24"/>
        </w:rPr>
        <w:t xml:space="preserve">confirmación del diagnóstico y la evaluación de la respuesta de tratamiento de pacientes con insuficiencia cardiaca y confirma que el corazón es un órgano endocrino, capaz de regular el estado </w:t>
      </w:r>
      <w:proofErr w:type="spellStart"/>
      <w:r w:rsidRPr="00E45DDD">
        <w:rPr>
          <w:rFonts w:eastAsia="Arial" w:cstheme="minorHAnsi"/>
          <w:sz w:val="24"/>
          <w:szCs w:val="24"/>
        </w:rPr>
        <w:t>hemodinámico</w:t>
      </w:r>
      <w:proofErr w:type="spellEnd"/>
      <w:r w:rsidRPr="00E45DDD">
        <w:rPr>
          <w:rFonts w:eastAsia="Arial" w:cstheme="minorHAnsi"/>
          <w:sz w:val="24"/>
          <w:szCs w:val="24"/>
        </w:rPr>
        <w:t xml:space="preserve"> de forma conjunta con otros órganos como el sistema nervioso central, los </w:t>
      </w:r>
      <w:proofErr w:type="spellStart"/>
      <w:r w:rsidRPr="00E45DDD">
        <w:rPr>
          <w:rFonts w:eastAsia="Arial" w:cstheme="minorHAnsi"/>
          <w:sz w:val="24"/>
          <w:szCs w:val="24"/>
        </w:rPr>
        <w:t>barorreceptores</w:t>
      </w:r>
      <w:proofErr w:type="spellEnd"/>
      <w:r w:rsidRPr="00E45DDD">
        <w:rPr>
          <w:rFonts w:eastAsia="Arial" w:cstheme="minorHAnsi"/>
          <w:sz w:val="24"/>
          <w:szCs w:val="24"/>
        </w:rPr>
        <w:t xml:space="preserve"> y el riñón. De esta manera el PNB ha demostrado ser un perfecto marcador del estado de activación </w:t>
      </w:r>
      <w:proofErr w:type="spellStart"/>
      <w:r w:rsidRPr="00E45DDD">
        <w:rPr>
          <w:rFonts w:eastAsia="Arial" w:cstheme="minorHAnsi"/>
          <w:sz w:val="24"/>
          <w:szCs w:val="24"/>
        </w:rPr>
        <w:t>neurohormonal</w:t>
      </w:r>
      <w:proofErr w:type="spellEnd"/>
      <w:r w:rsidRPr="00E45DDD">
        <w:rPr>
          <w:rFonts w:eastAsia="Arial" w:cstheme="minorHAnsi"/>
          <w:sz w:val="24"/>
          <w:szCs w:val="24"/>
        </w:rPr>
        <w:t xml:space="preserve"> en pacientes con insuficiencia cardiaca, donde su elevación, es marcador de mal pronóstico de forma independiente de otras variables, como la edad, la fracción de eyección del ventrículo izquierdo o el sexo.</w:t>
      </w:r>
      <w:r w:rsidRPr="00C0402F">
        <w:rPr>
          <w:rFonts w:eastAsia="Arial" w:cstheme="minorHAnsi"/>
          <w:b/>
          <w:sz w:val="24"/>
          <w:szCs w:val="24"/>
          <w:vertAlign w:val="superscript"/>
        </w:rPr>
        <w:t>13-15</w:t>
      </w:r>
    </w:p>
    <w:p w:rsidR="00E131C8" w:rsidRPr="00E45DDD" w:rsidRDefault="00E131C8" w:rsidP="00E131C8">
      <w:pPr>
        <w:shd w:val="clear" w:color="auto" w:fill="FFFFFF"/>
        <w:spacing w:before="240" w:after="0" w:line="360" w:lineRule="auto"/>
        <w:jc w:val="both"/>
        <w:rPr>
          <w:rFonts w:eastAsia="Arial" w:cstheme="minorHAnsi"/>
          <w:sz w:val="24"/>
          <w:szCs w:val="24"/>
        </w:rPr>
      </w:pPr>
      <w:r w:rsidRPr="00E45DDD">
        <w:rPr>
          <w:rFonts w:eastAsia="Arial" w:cstheme="minorHAnsi"/>
          <w:sz w:val="24"/>
          <w:szCs w:val="24"/>
        </w:rPr>
        <w:t>Los resultados encontrados muestran concordancia con estudios como los de Pascual</w:t>
      </w:r>
      <w:r w:rsidR="00187ECD">
        <w:rPr>
          <w:rFonts w:eastAsia="Arial" w:cstheme="minorHAnsi"/>
          <w:sz w:val="24"/>
          <w:szCs w:val="24"/>
        </w:rPr>
        <w:t xml:space="preserve"> </w:t>
      </w:r>
      <w:r w:rsidR="00187ECD" w:rsidRPr="00187ECD">
        <w:rPr>
          <w:rFonts w:eastAsia="Arial" w:cstheme="minorHAnsi"/>
          <w:i/>
          <w:sz w:val="24"/>
          <w:szCs w:val="24"/>
        </w:rPr>
        <w:t>et al.</w:t>
      </w:r>
      <w:r w:rsidRPr="00E45DDD">
        <w:rPr>
          <w:rFonts w:eastAsia="Arial" w:cstheme="minorHAnsi"/>
          <w:b/>
          <w:sz w:val="24"/>
          <w:szCs w:val="24"/>
          <w:vertAlign w:val="superscript"/>
        </w:rPr>
        <w:t>14</w:t>
      </w:r>
      <w:r w:rsidRPr="00E45DDD">
        <w:rPr>
          <w:rFonts w:eastAsia="Arial" w:cstheme="minorHAnsi"/>
          <w:sz w:val="24"/>
          <w:szCs w:val="24"/>
        </w:rPr>
        <w:t>, Paredes</w:t>
      </w:r>
      <w:r w:rsidR="00187ECD">
        <w:rPr>
          <w:rFonts w:eastAsia="Arial" w:cstheme="minorHAnsi"/>
          <w:sz w:val="24"/>
          <w:szCs w:val="24"/>
        </w:rPr>
        <w:t xml:space="preserve"> </w:t>
      </w:r>
      <w:r w:rsidR="00187ECD" w:rsidRPr="00187ECD">
        <w:rPr>
          <w:rFonts w:eastAsia="Arial" w:cstheme="minorHAnsi"/>
          <w:i/>
          <w:sz w:val="24"/>
          <w:szCs w:val="24"/>
        </w:rPr>
        <w:t>et al.</w:t>
      </w:r>
      <w:r w:rsidRPr="00E45DDD">
        <w:rPr>
          <w:rFonts w:eastAsia="Arial" w:cstheme="minorHAnsi"/>
          <w:b/>
          <w:sz w:val="24"/>
          <w:szCs w:val="24"/>
          <w:vertAlign w:val="superscript"/>
        </w:rPr>
        <w:t>15</w:t>
      </w:r>
      <w:r w:rsidRPr="00E45DDD">
        <w:rPr>
          <w:rFonts w:eastAsia="Arial" w:cstheme="minorHAnsi"/>
          <w:sz w:val="24"/>
          <w:szCs w:val="24"/>
        </w:rPr>
        <w:t>, Pluddemman</w:t>
      </w:r>
      <w:r w:rsidRPr="00E45DDD">
        <w:rPr>
          <w:rFonts w:eastAsia="Arial" w:cstheme="minorHAnsi"/>
          <w:b/>
          <w:sz w:val="24"/>
          <w:szCs w:val="24"/>
          <w:vertAlign w:val="superscript"/>
        </w:rPr>
        <w:t>16</w:t>
      </w:r>
      <w:r w:rsidRPr="00E45DDD">
        <w:rPr>
          <w:rFonts w:eastAsia="Arial" w:cstheme="minorHAnsi"/>
          <w:sz w:val="24"/>
          <w:szCs w:val="24"/>
        </w:rPr>
        <w:t>, García-</w:t>
      </w:r>
      <w:proofErr w:type="spellStart"/>
      <w:r w:rsidRPr="00E45DDD">
        <w:rPr>
          <w:rFonts w:eastAsia="Arial" w:cstheme="minorHAnsi"/>
          <w:sz w:val="24"/>
          <w:szCs w:val="24"/>
        </w:rPr>
        <w:t>Tizoc</w:t>
      </w:r>
      <w:proofErr w:type="spellEnd"/>
      <w:r w:rsidR="00320997">
        <w:rPr>
          <w:rFonts w:eastAsia="Arial" w:cstheme="minorHAnsi"/>
          <w:sz w:val="24"/>
          <w:szCs w:val="24"/>
        </w:rPr>
        <w:t xml:space="preserve"> </w:t>
      </w:r>
      <w:r w:rsidR="00320997" w:rsidRPr="00187ECD">
        <w:rPr>
          <w:rFonts w:eastAsia="Arial" w:cstheme="minorHAnsi"/>
          <w:i/>
          <w:sz w:val="24"/>
          <w:szCs w:val="24"/>
        </w:rPr>
        <w:t>et al.</w:t>
      </w:r>
      <w:r w:rsidRPr="00E45DDD">
        <w:rPr>
          <w:rFonts w:eastAsia="Arial" w:cstheme="minorHAnsi"/>
          <w:b/>
          <w:sz w:val="24"/>
          <w:szCs w:val="24"/>
          <w:vertAlign w:val="superscript"/>
        </w:rPr>
        <w:t>17</w:t>
      </w:r>
      <w:r w:rsidRPr="00E45DDD">
        <w:rPr>
          <w:rFonts w:eastAsia="Arial" w:cstheme="minorHAnsi"/>
          <w:sz w:val="24"/>
          <w:szCs w:val="24"/>
        </w:rPr>
        <w:t xml:space="preserve">, </w:t>
      </w:r>
      <w:proofErr w:type="spellStart"/>
      <w:r w:rsidRPr="00E45DDD">
        <w:rPr>
          <w:rFonts w:eastAsia="Arial" w:cstheme="minorHAnsi"/>
          <w:sz w:val="24"/>
          <w:szCs w:val="24"/>
        </w:rPr>
        <w:t>Saldariaga</w:t>
      </w:r>
      <w:proofErr w:type="spellEnd"/>
      <w:r w:rsidR="00320997">
        <w:rPr>
          <w:rFonts w:eastAsia="Arial" w:cstheme="minorHAnsi"/>
          <w:sz w:val="24"/>
          <w:szCs w:val="24"/>
        </w:rPr>
        <w:t xml:space="preserve"> </w:t>
      </w:r>
      <w:r w:rsidR="00320997" w:rsidRPr="00187ECD">
        <w:rPr>
          <w:rFonts w:eastAsia="Arial" w:cstheme="minorHAnsi"/>
          <w:i/>
          <w:sz w:val="24"/>
          <w:szCs w:val="24"/>
        </w:rPr>
        <w:t>et al.</w:t>
      </w:r>
      <w:r w:rsidRPr="00E45DDD">
        <w:rPr>
          <w:rFonts w:eastAsia="Arial" w:cstheme="minorHAnsi"/>
          <w:b/>
          <w:sz w:val="24"/>
          <w:szCs w:val="24"/>
          <w:vertAlign w:val="superscript"/>
        </w:rPr>
        <w:t>18</w:t>
      </w:r>
      <w:r w:rsidRPr="00E45DDD">
        <w:rPr>
          <w:rFonts w:eastAsia="Arial" w:cstheme="minorHAnsi"/>
          <w:sz w:val="24"/>
          <w:szCs w:val="24"/>
        </w:rPr>
        <w:t xml:space="preserve"> y Almenar </w:t>
      </w:r>
      <w:r w:rsidRPr="00E45DDD">
        <w:rPr>
          <w:rFonts w:eastAsia="Arial" w:cstheme="minorHAnsi"/>
          <w:b/>
          <w:sz w:val="24"/>
          <w:szCs w:val="24"/>
          <w:vertAlign w:val="superscript"/>
        </w:rPr>
        <w:t xml:space="preserve">19 </w:t>
      </w:r>
      <w:r w:rsidRPr="00E45DDD">
        <w:rPr>
          <w:rFonts w:eastAsia="Arial" w:cstheme="minorHAnsi"/>
          <w:sz w:val="24"/>
          <w:szCs w:val="24"/>
        </w:rPr>
        <w:t xml:space="preserve"> donde se evidencia la utilidad de los péptidos </w:t>
      </w:r>
      <w:proofErr w:type="spellStart"/>
      <w:r w:rsidRPr="00E45DDD">
        <w:rPr>
          <w:rFonts w:eastAsia="Arial" w:cstheme="minorHAnsi"/>
          <w:sz w:val="24"/>
          <w:szCs w:val="24"/>
        </w:rPr>
        <w:t>natriuréticos</w:t>
      </w:r>
      <w:proofErr w:type="spellEnd"/>
      <w:r w:rsidRPr="00E45DDD">
        <w:rPr>
          <w:rFonts w:eastAsia="Arial" w:cstheme="minorHAnsi"/>
          <w:sz w:val="24"/>
          <w:szCs w:val="24"/>
        </w:rPr>
        <w:t xml:space="preserve"> en el diagnóstico precoz de la insuficiencia cardíaca, así como en la monitorización del tratamiento ambulatorio de pacientes con esta entidad.</w:t>
      </w:r>
    </w:p>
    <w:p w:rsidR="00E131C8" w:rsidRPr="00E45DDD" w:rsidRDefault="00E131C8" w:rsidP="00E131C8">
      <w:pPr>
        <w:shd w:val="clear" w:color="auto" w:fill="FFFFFF"/>
        <w:spacing w:before="240" w:after="0" w:line="360" w:lineRule="auto"/>
        <w:jc w:val="both"/>
        <w:rPr>
          <w:rFonts w:eastAsia="Arial" w:cstheme="minorHAnsi"/>
          <w:sz w:val="24"/>
          <w:szCs w:val="24"/>
        </w:rPr>
      </w:pPr>
    </w:p>
    <w:p w:rsidR="00E131C8" w:rsidRPr="00E45DDD" w:rsidRDefault="00E131C8" w:rsidP="00E131C8">
      <w:pPr>
        <w:shd w:val="clear" w:color="auto" w:fill="FFFFFF"/>
        <w:spacing w:before="240" w:after="0" w:line="360" w:lineRule="auto"/>
        <w:jc w:val="both"/>
        <w:rPr>
          <w:rFonts w:eastAsia="Arial" w:cstheme="minorHAnsi"/>
          <w:b/>
          <w:sz w:val="24"/>
          <w:szCs w:val="24"/>
        </w:rPr>
      </w:pPr>
      <w:r w:rsidRPr="00E45DDD">
        <w:rPr>
          <w:rFonts w:eastAsia="Arial" w:cstheme="minorHAnsi"/>
          <w:b/>
          <w:sz w:val="24"/>
          <w:szCs w:val="24"/>
        </w:rPr>
        <w:t>CONCLUSIONES</w:t>
      </w:r>
    </w:p>
    <w:p w:rsidR="00E131C8" w:rsidRPr="00E45DDD" w:rsidRDefault="00E131C8" w:rsidP="00E131C8">
      <w:pPr>
        <w:shd w:val="clear" w:color="auto" w:fill="FFFFFF"/>
        <w:spacing w:before="240" w:after="0" w:line="360" w:lineRule="auto"/>
        <w:jc w:val="both"/>
        <w:rPr>
          <w:rFonts w:eastAsia="Arial" w:cstheme="minorHAnsi"/>
          <w:sz w:val="24"/>
          <w:szCs w:val="24"/>
          <w:lang w:val="es-MX"/>
        </w:rPr>
      </w:pPr>
      <w:r w:rsidRPr="00E45DDD">
        <w:rPr>
          <w:rFonts w:eastAsia="Arial" w:cstheme="minorHAnsi"/>
          <w:sz w:val="24"/>
          <w:szCs w:val="24"/>
        </w:rPr>
        <w:t xml:space="preserve">El envejecimiento poblacional, el periodo </w:t>
      </w:r>
      <w:proofErr w:type="spellStart"/>
      <w:r w:rsidRPr="00E45DDD">
        <w:rPr>
          <w:rFonts w:eastAsia="Arial" w:cstheme="minorHAnsi"/>
          <w:sz w:val="24"/>
          <w:szCs w:val="24"/>
        </w:rPr>
        <w:t>postmenopáusico</w:t>
      </w:r>
      <w:proofErr w:type="spellEnd"/>
      <w:r w:rsidRPr="00E45DDD">
        <w:rPr>
          <w:rFonts w:eastAsia="Arial" w:cstheme="minorHAnsi"/>
          <w:sz w:val="24"/>
          <w:szCs w:val="24"/>
        </w:rPr>
        <w:t xml:space="preserve"> en la mujer y el daño endotelial resultante de los elementos clínicos y bioquímicos que componen el síndrome </w:t>
      </w:r>
      <w:proofErr w:type="spellStart"/>
      <w:r w:rsidRPr="00E45DDD">
        <w:rPr>
          <w:rFonts w:eastAsia="Arial" w:cstheme="minorHAnsi"/>
          <w:sz w:val="24"/>
          <w:szCs w:val="24"/>
        </w:rPr>
        <w:t>cardiometabólico</w:t>
      </w:r>
      <w:proofErr w:type="spellEnd"/>
      <w:r w:rsidRPr="00E45DDD">
        <w:rPr>
          <w:rFonts w:eastAsia="Arial" w:cstheme="minorHAnsi"/>
          <w:sz w:val="24"/>
          <w:szCs w:val="24"/>
        </w:rPr>
        <w:t xml:space="preserve"> favorecen el incremento de la incidencia de insuficiencia cardiaca en la </w:t>
      </w:r>
      <w:proofErr w:type="gramStart"/>
      <w:r w:rsidRPr="00E45DDD">
        <w:rPr>
          <w:rFonts w:eastAsia="Arial" w:cstheme="minorHAnsi"/>
          <w:sz w:val="24"/>
          <w:szCs w:val="24"/>
        </w:rPr>
        <w:t>población</w:t>
      </w:r>
      <w:proofErr w:type="gramEnd"/>
      <w:r w:rsidRPr="00E45DDD">
        <w:rPr>
          <w:rFonts w:eastAsia="Arial" w:cstheme="minorHAnsi"/>
          <w:sz w:val="24"/>
          <w:szCs w:val="24"/>
        </w:rPr>
        <w:t xml:space="preserve"> de enfermos de referencia, coincidiendo con lo reportado por la literatura </w:t>
      </w:r>
      <w:r w:rsidRPr="00E45DDD">
        <w:rPr>
          <w:rFonts w:eastAsia="Arial" w:cstheme="minorHAnsi"/>
          <w:sz w:val="24"/>
          <w:szCs w:val="24"/>
        </w:rPr>
        <w:lastRenderedPageBreak/>
        <w:t>nacional e internacional.</w:t>
      </w:r>
      <w:r>
        <w:rPr>
          <w:rFonts w:eastAsia="Arial" w:cstheme="minorHAnsi"/>
          <w:sz w:val="24"/>
          <w:szCs w:val="24"/>
        </w:rPr>
        <w:t xml:space="preserve"> </w:t>
      </w:r>
      <w:r w:rsidRPr="00E45DDD">
        <w:rPr>
          <w:rFonts w:eastAsia="Arial" w:cstheme="minorHAnsi"/>
          <w:sz w:val="24"/>
          <w:szCs w:val="24"/>
        </w:rPr>
        <w:t>Continúan siendo la cardiopatía isquémica y la cardiopatía hipertensiva las causas importantes a considerar en el desarrollo de la insuficiencia cardiaca grave, asociada directamente a alteraciones marcadas del péptido natriurético cerebral, relacionado con la mortalidad en la población de enfermos con cardiopatía isquémica.</w:t>
      </w:r>
      <w:r>
        <w:rPr>
          <w:rFonts w:eastAsia="Arial" w:cstheme="minorHAnsi"/>
          <w:sz w:val="24"/>
          <w:szCs w:val="24"/>
        </w:rPr>
        <w:t xml:space="preserve"> </w:t>
      </w:r>
      <w:r w:rsidRPr="00E45DDD">
        <w:rPr>
          <w:rFonts w:cstheme="minorHAnsi"/>
          <w:sz w:val="24"/>
          <w:szCs w:val="24"/>
        </w:rPr>
        <w:t xml:space="preserve">La mayor incidencia de la edad se presentó en pacientes mayores de 71 años, así como prevaleció el sexo femenino. La hipertensión arterial y el sedentarismo fueron los factores de riesgo asociados más frecuentes con el 88,0 %, en ambos casos. </w:t>
      </w:r>
      <w:r w:rsidRPr="00E45DDD">
        <w:rPr>
          <w:rFonts w:eastAsia="Arial" w:cstheme="minorHAnsi"/>
          <w:sz w:val="24"/>
          <w:szCs w:val="24"/>
        </w:rPr>
        <w:t xml:space="preserve">La cardiopatía hipertensiva fue la que registró mayor número de enfermos con 10 o más años de evolución para un 12,0 %. </w:t>
      </w:r>
      <w:r w:rsidRPr="00E45DDD">
        <w:rPr>
          <w:rFonts w:cstheme="minorHAnsi"/>
          <w:sz w:val="24"/>
          <w:szCs w:val="24"/>
        </w:rPr>
        <w:t>La totalidad de los enfermos presentaban aumento del Péptido Natriurético Cerebral al ingreso y solo el 20,0 % de egresó sin variación de este parámetro, posterior al tratamiento impuesto.</w:t>
      </w:r>
    </w:p>
    <w:p w:rsidR="00E131C8" w:rsidRPr="00E45DDD" w:rsidRDefault="00E131C8" w:rsidP="00E131C8">
      <w:pPr>
        <w:spacing w:after="0" w:line="360" w:lineRule="auto"/>
        <w:jc w:val="both"/>
        <w:rPr>
          <w:rFonts w:eastAsia="font303" w:cstheme="minorHAnsi"/>
          <w:b/>
          <w:bCs/>
          <w:sz w:val="24"/>
          <w:szCs w:val="24"/>
        </w:rPr>
      </w:pPr>
    </w:p>
    <w:p w:rsidR="00E131C8" w:rsidRPr="00E45DDD" w:rsidRDefault="00E131C8" w:rsidP="00E131C8">
      <w:pPr>
        <w:spacing w:after="0" w:line="360" w:lineRule="auto"/>
        <w:jc w:val="both"/>
        <w:rPr>
          <w:rFonts w:cstheme="minorHAnsi"/>
          <w:sz w:val="24"/>
          <w:szCs w:val="24"/>
        </w:rPr>
      </w:pPr>
      <w:r w:rsidRPr="00E45DDD">
        <w:rPr>
          <w:rFonts w:eastAsia="font303" w:cstheme="minorHAnsi"/>
          <w:b/>
          <w:bCs/>
          <w:sz w:val="24"/>
          <w:szCs w:val="24"/>
        </w:rPr>
        <w:t>Conflicto de intereses</w:t>
      </w:r>
    </w:p>
    <w:p w:rsidR="00E131C8" w:rsidRPr="00E45DDD" w:rsidRDefault="00E131C8" w:rsidP="00E131C8">
      <w:pPr>
        <w:spacing w:after="0" w:line="360" w:lineRule="auto"/>
        <w:jc w:val="both"/>
        <w:rPr>
          <w:rFonts w:cstheme="minorHAnsi"/>
          <w:sz w:val="24"/>
          <w:szCs w:val="24"/>
        </w:rPr>
      </w:pPr>
      <w:r w:rsidRPr="00E45DDD">
        <w:rPr>
          <w:rFonts w:eastAsia="font303" w:cstheme="minorHAnsi"/>
          <w:bCs/>
          <w:sz w:val="24"/>
          <w:szCs w:val="24"/>
        </w:rPr>
        <w:t>Los autores declaran no tener conflicto de intereses.</w:t>
      </w:r>
    </w:p>
    <w:p w:rsidR="00E131C8" w:rsidRPr="00E45DDD" w:rsidRDefault="00E131C8" w:rsidP="00E131C8">
      <w:pPr>
        <w:spacing w:after="0" w:line="360" w:lineRule="auto"/>
        <w:jc w:val="both"/>
        <w:rPr>
          <w:rFonts w:eastAsia="font303" w:cstheme="minorHAnsi"/>
          <w:b/>
          <w:bCs/>
          <w:sz w:val="24"/>
          <w:szCs w:val="24"/>
        </w:rPr>
      </w:pPr>
    </w:p>
    <w:p w:rsidR="00E131C8" w:rsidRPr="00E45DDD" w:rsidRDefault="00E131C8" w:rsidP="00E131C8">
      <w:pPr>
        <w:spacing w:after="0" w:line="360" w:lineRule="auto"/>
        <w:jc w:val="both"/>
        <w:rPr>
          <w:rFonts w:cstheme="minorHAnsi"/>
          <w:sz w:val="24"/>
          <w:szCs w:val="24"/>
        </w:rPr>
      </w:pPr>
      <w:r w:rsidRPr="00E45DDD">
        <w:rPr>
          <w:rFonts w:eastAsia="font303" w:cstheme="minorHAnsi"/>
          <w:b/>
          <w:bCs/>
          <w:sz w:val="24"/>
          <w:szCs w:val="24"/>
        </w:rPr>
        <w:t>Contribución de autoría</w:t>
      </w:r>
    </w:p>
    <w:p w:rsidR="00E131C8" w:rsidRPr="00E45DDD" w:rsidRDefault="00E131C8" w:rsidP="00E131C8">
      <w:pPr>
        <w:spacing w:after="0" w:line="360" w:lineRule="auto"/>
        <w:jc w:val="both"/>
        <w:rPr>
          <w:rFonts w:cstheme="minorHAnsi"/>
          <w:sz w:val="24"/>
          <w:szCs w:val="24"/>
        </w:rPr>
      </w:pPr>
      <w:r w:rsidRPr="00E45DDD">
        <w:rPr>
          <w:rFonts w:cstheme="minorHAnsi"/>
          <w:b/>
          <w:sz w:val="24"/>
          <w:szCs w:val="24"/>
          <w:lang w:eastAsia="es-MX"/>
        </w:rPr>
        <w:t>AJSQ</w:t>
      </w:r>
      <w:r w:rsidRPr="00E45DDD">
        <w:rPr>
          <w:rFonts w:cstheme="minorHAnsi"/>
          <w:b/>
          <w:sz w:val="24"/>
          <w:szCs w:val="24"/>
        </w:rPr>
        <w:t>:</w:t>
      </w:r>
      <w:r w:rsidRPr="00E45DDD">
        <w:rPr>
          <w:rFonts w:cstheme="minorHAnsi"/>
          <w:sz w:val="24"/>
          <w:szCs w:val="24"/>
        </w:rPr>
        <w:t xml:space="preserve"> Conceptualización, curación de datos, análisis formal, investigación, administración del proyecto, redacción -revisión y edición. </w:t>
      </w:r>
    </w:p>
    <w:p w:rsidR="00E131C8" w:rsidRPr="00E45DDD" w:rsidRDefault="00E131C8" w:rsidP="00E131C8">
      <w:pPr>
        <w:spacing w:after="0" w:line="360" w:lineRule="auto"/>
        <w:jc w:val="both"/>
        <w:rPr>
          <w:rFonts w:cstheme="minorHAnsi"/>
          <w:sz w:val="24"/>
          <w:szCs w:val="24"/>
        </w:rPr>
      </w:pPr>
      <w:r w:rsidRPr="00E45DDD">
        <w:rPr>
          <w:rFonts w:cstheme="minorHAnsi"/>
          <w:b/>
          <w:sz w:val="24"/>
          <w:szCs w:val="24"/>
          <w:lang w:eastAsia="es-MX"/>
        </w:rPr>
        <w:t>TCA</w:t>
      </w:r>
      <w:r w:rsidRPr="00E45DDD">
        <w:rPr>
          <w:rFonts w:cstheme="minorHAnsi"/>
          <w:b/>
          <w:sz w:val="24"/>
          <w:szCs w:val="24"/>
        </w:rPr>
        <w:t>:</w:t>
      </w:r>
      <w:r w:rsidRPr="00E45DDD">
        <w:rPr>
          <w:rFonts w:cstheme="minorHAnsi"/>
          <w:sz w:val="24"/>
          <w:szCs w:val="24"/>
        </w:rPr>
        <w:t xml:space="preserve"> investigación, redacción –revisión, edición y borrador original.</w:t>
      </w:r>
    </w:p>
    <w:p w:rsidR="00E131C8" w:rsidRPr="00E45DDD" w:rsidRDefault="00E131C8" w:rsidP="00E131C8">
      <w:pPr>
        <w:spacing w:after="0" w:line="360" w:lineRule="auto"/>
        <w:jc w:val="both"/>
        <w:rPr>
          <w:rFonts w:cstheme="minorHAnsi"/>
          <w:sz w:val="24"/>
          <w:szCs w:val="24"/>
        </w:rPr>
      </w:pPr>
      <w:r w:rsidRPr="00E45DDD">
        <w:rPr>
          <w:rFonts w:cstheme="minorHAnsi"/>
          <w:sz w:val="24"/>
          <w:szCs w:val="24"/>
        </w:rPr>
        <w:t>Todos aprobaron la versión final del manuscrito.</w:t>
      </w:r>
    </w:p>
    <w:p w:rsidR="00E131C8" w:rsidRPr="00E45DDD" w:rsidRDefault="00E131C8" w:rsidP="00E131C8">
      <w:pPr>
        <w:spacing w:after="0" w:line="360" w:lineRule="auto"/>
        <w:jc w:val="both"/>
        <w:rPr>
          <w:rFonts w:cstheme="minorHAnsi"/>
          <w:sz w:val="24"/>
          <w:szCs w:val="24"/>
        </w:rPr>
      </w:pPr>
      <w:r w:rsidRPr="00E45DDD">
        <w:rPr>
          <w:rFonts w:cstheme="minorHAnsi"/>
          <w:b/>
          <w:sz w:val="24"/>
          <w:szCs w:val="24"/>
          <w:lang w:eastAsia="es-MX"/>
        </w:rPr>
        <w:t>AASQ</w:t>
      </w:r>
      <w:bookmarkStart w:id="0" w:name="_GoBack"/>
      <w:bookmarkEnd w:id="0"/>
      <w:r w:rsidRPr="00E45DDD">
        <w:rPr>
          <w:rFonts w:cstheme="minorHAnsi"/>
          <w:b/>
          <w:sz w:val="24"/>
          <w:szCs w:val="24"/>
        </w:rPr>
        <w:t>:</w:t>
      </w:r>
      <w:r w:rsidRPr="00E45DDD">
        <w:rPr>
          <w:rFonts w:cstheme="minorHAnsi"/>
          <w:sz w:val="24"/>
          <w:szCs w:val="24"/>
        </w:rPr>
        <w:t xml:space="preserve"> investigación, redacción –revisión, edición y borrador original.</w:t>
      </w:r>
    </w:p>
    <w:p w:rsidR="00E131C8" w:rsidRDefault="00E131C8" w:rsidP="00E131C8">
      <w:pPr>
        <w:spacing w:after="0" w:line="360" w:lineRule="auto"/>
        <w:jc w:val="both"/>
        <w:rPr>
          <w:rFonts w:cstheme="minorHAnsi"/>
          <w:sz w:val="24"/>
          <w:szCs w:val="24"/>
        </w:rPr>
      </w:pPr>
      <w:r w:rsidRPr="00E45DDD">
        <w:rPr>
          <w:rFonts w:cstheme="minorHAnsi"/>
          <w:sz w:val="24"/>
          <w:szCs w:val="24"/>
        </w:rPr>
        <w:t>Todos aprobaron la versión final del manuscrito.</w:t>
      </w:r>
    </w:p>
    <w:p w:rsidR="00E131C8" w:rsidRPr="00E45DDD" w:rsidRDefault="00E131C8" w:rsidP="00E131C8">
      <w:pPr>
        <w:spacing w:after="0" w:line="360" w:lineRule="auto"/>
        <w:jc w:val="both"/>
        <w:rPr>
          <w:rFonts w:cstheme="minorHAnsi"/>
          <w:sz w:val="24"/>
          <w:szCs w:val="24"/>
        </w:rPr>
      </w:pPr>
      <w:r w:rsidRPr="00364511">
        <w:rPr>
          <w:rFonts w:cstheme="minorHAnsi"/>
          <w:b/>
          <w:sz w:val="24"/>
          <w:szCs w:val="24"/>
        </w:rPr>
        <w:t>CDSB:</w:t>
      </w:r>
      <w:r>
        <w:rPr>
          <w:rFonts w:cstheme="minorHAnsi"/>
          <w:sz w:val="24"/>
          <w:szCs w:val="24"/>
        </w:rPr>
        <w:t xml:space="preserve"> </w:t>
      </w:r>
      <w:r w:rsidRPr="00E45DDD">
        <w:rPr>
          <w:rFonts w:cstheme="minorHAnsi"/>
          <w:sz w:val="24"/>
          <w:szCs w:val="24"/>
        </w:rPr>
        <w:t>investigación, redacción –revisión, edición y borrador original.</w:t>
      </w:r>
    </w:p>
    <w:p w:rsidR="00E131C8" w:rsidRDefault="00E131C8" w:rsidP="00E131C8">
      <w:pPr>
        <w:spacing w:after="0" w:line="360" w:lineRule="auto"/>
        <w:jc w:val="both"/>
        <w:rPr>
          <w:rFonts w:cstheme="minorHAnsi"/>
          <w:sz w:val="24"/>
          <w:szCs w:val="24"/>
        </w:rPr>
      </w:pPr>
      <w:r w:rsidRPr="00E45DDD">
        <w:rPr>
          <w:rFonts w:cstheme="minorHAnsi"/>
          <w:sz w:val="24"/>
          <w:szCs w:val="24"/>
        </w:rPr>
        <w:t>Todos aprobaron la versión final del manuscrito.</w:t>
      </w:r>
    </w:p>
    <w:p w:rsidR="00000000" w:rsidRDefault="005C5B33" w:rsidP="0071175C">
      <w:pPr>
        <w:jc w:val="both"/>
        <w:rPr>
          <w:sz w:val="24"/>
        </w:rPr>
      </w:pPr>
    </w:p>
    <w:p w:rsidR="00E131C8" w:rsidRPr="00320997" w:rsidRDefault="00E131C8" w:rsidP="00E131C8">
      <w:pPr>
        <w:shd w:val="clear" w:color="auto" w:fill="FFFFFF"/>
        <w:spacing w:before="240" w:after="0" w:line="360" w:lineRule="auto"/>
        <w:jc w:val="both"/>
        <w:rPr>
          <w:rFonts w:eastAsia="Arial" w:cstheme="minorHAnsi"/>
          <w:b/>
          <w:sz w:val="24"/>
          <w:szCs w:val="24"/>
        </w:rPr>
      </w:pPr>
      <w:r w:rsidRPr="00320997">
        <w:rPr>
          <w:rFonts w:eastAsia="Arial" w:cstheme="minorHAnsi"/>
          <w:b/>
          <w:sz w:val="24"/>
          <w:szCs w:val="24"/>
        </w:rPr>
        <w:t>REFERENCIAS BIBLIOGRÁFICAS</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r w:rsidRPr="00320997">
        <w:rPr>
          <w:rFonts w:eastAsia="Times New Roman" w:cstheme="minorHAnsi"/>
          <w:sz w:val="24"/>
          <w:lang w:val="en-US"/>
        </w:rPr>
        <w:t xml:space="preserve">Farr MA, </w:t>
      </w:r>
      <w:proofErr w:type="spellStart"/>
      <w:r w:rsidRPr="00320997">
        <w:rPr>
          <w:rFonts w:eastAsia="Times New Roman" w:cstheme="minorHAnsi"/>
          <w:sz w:val="24"/>
          <w:lang w:val="en-US"/>
        </w:rPr>
        <w:t>Basson</w:t>
      </w:r>
      <w:proofErr w:type="spellEnd"/>
      <w:r w:rsidRPr="00320997">
        <w:rPr>
          <w:rFonts w:eastAsia="Times New Roman" w:cstheme="minorHAnsi"/>
          <w:sz w:val="24"/>
          <w:lang w:val="en-US"/>
        </w:rPr>
        <w:t xml:space="preserve"> CT. Sparking the failing heart. N </w:t>
      </w:r>
      <w:proofErr w:type="spellStart"/>
      <w:r w:rsidRPr="00320997">
        <w:rPr>
          <w:rFonts w:eastAsia="Times New Roman" w:cstheme="minorHAnsi"/>
          <w:sz w:val="24"/>
          <w:lang w:val="en-US"/>
        </w:rPr>
        <w:t>Engl</w:t>
      </w:r>
      <w:proofErr w:type="spellEnd"/>
      <w:r w:rsidRPr="00320997">
        <w:rPr>
          <w:rFonts w:eastAsia="Times New Roman" w:cstheme="minorHAnsi"/>
          <w:sz w:val="24"/>
          <w:lang w:val="en-US"/>
        </w:rPr>
        <w:t xml:space="preserve"> J Med [Internet]. </w:t>
      </w:r>
      <w:r w:rsidRPr="00320997">
        <w:rPr>
          <w:rFonts w:eastAsia="Times New Roman" w:cstheme="minorHAnsi"/>
          <w:sz w:val="24"/>
        </w:rPr>
        <w:t xml:space="preserve">2004 [citado 23 </w:t>
      </w:r>
      <w:proofErr w:type="spellStart"/>
      <w:r w:rsidRPr="00320997">
        <w:rPr>
          <w:rFonts w:eastAsia="Times New Roman" w:cstheme="minorHAnsi"/>
          <w:sz w:val="24"/>
        </w:rPr>
        <w:t>abr</w:t>
      </w:r>
      <w:proofErr w:type="spellEnd"/>
      <w:r w:rsidRPr="00320997">
        <w:rPr>
          <w:rFonts w:eastAsia="Times New Roman" w:cstheme="minorHAnsi"/>
          <w:sz w:val="24"/>
        </w:rPr>
        <w:t xml:space="preserve"> 2019]; 351:185-7. Disponible en: https://www.nejm.org/doi/full/10.1056/NEJMcibr041466</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proofErr w:type="spellStart"/>
      <w:r w:rsidRPr="00320997">
        <w:rPr>
          <w:rFonts w:eastAsia="Times New Roman" w:cstheme="minorHAnsi"/>
          <w:sz w:val="24"/>
          <w:lang w:val="en-GB"/>
        </w:rPr>
        <w:lastRenderedPageBreak/>
        <w:t>Mosterd</w:t>
      </w:r>
      <w:proofErr w:type="spellEnd"/>
      <w:r w:rsidRPr="00320997">
        <w:rPr>
          <w:rFonts w:eastAsia="Times New Roman" w:cstheme="minorHAnsi"/>
          <w:sz w:val="24"/>
          <w:lang w:val="en-GB"/>
        </w:rPr>
        <w:t xml:space="preserve"> A, Hoes AW, de </w:t>
      </w:r>
      <w:proofErr w:type="spellStart"/>
      <w:r w:rsidRPr="00320997">
        <w:rPr>
          <w:rFonts w:eastAsia="Times New Roman" w:cstheme="minorHAnsi"/>
          <w:sz w:val="24"/>
          <w:lang w:val="en-GB"/>
        </w:rPr>
        <w:t>Bruyne</w:t>
      </w:r>
      <w:proofErr w:type="spellEnd"/>
      <w:r w:rsidRPr="00320997">
        <w:rPr>
          <w:rFonts w:eastAsia="Times New Roman" w:cstheme="minorHAnsi"/>
          <w:sz w:val="24"/>
          <w:lang w:val="en-GB"/>
        </w:rPr>
        <w:t xml:space="preserve"> MC, </w:t>
      </w:r>
      <w:proofErr w:type="spellStart"/>
      <w:r w:rsidRPr="00320997">
        <w:rPr>
          <w:rFonts w:eastAsia="Times New Roman" w:cstheme="minorHAnsi"/>
          <w:sz w:val="24"/>
          <w:lang w:val="en-GB"/>
        </w:rPr>
        <w:t>Deckers</w:t>
      </w:r>
      <w:proofErr w:type="spellEnd"/>
      <w:r w:rsidRPr="00320997">
        <w:rPr>
          <w:rFonts w:eastAsia="Times New Roman" w:cstheme="minorHAnsi"/>
          <w:sz w:val="24"/>
          <w:lang w:val="en-GB"/>
        </w:rPr>
        <w:t xml:space="preserve"> JW, Linker DT, </w:t>
      </w:r>
      <w:proofErr w:type="spellStart"/>
      <w:r w:rsidRPr="00320997">
        <w:rPr>
          <w:rFonts w:eastAsia="Times New Roman" w:cstheme="minorHAnsi"/>
          <w:sz w:val="24"/>
          <w:lang w:val="en-GB"/>
        </w:rPr>
        <w:t>Hofman</w:t>
      </w:r>
      <w:proofErr w:type="spellEnd"/>
      <w:r w:rsidRPr="00320997">
        <w:rPr>
          <w:rFonts w:eastAsia="Times New Roman" w:cstheme="minorHAnsi"/>
          <w:sz w:val="24"/>
          <w:lang w:val="en-GB"/>
        </w:rPr>
        <w:t xml:space="preserve"> A, et al. </w:t>
      </w:r>
      <w:r w:rsidRPr="00320997">
        <w:rPr>
          <w:rFonts w:eastAsia="Times New Roman" w:cstheme="minorHAnsi"/>
          <w:sz w:val="24"/>
          <w:lang w:val="en-US"/>
        </w:rPr>
        <w:t xml:space="preserve">Prevalence of heart failure and left ventricular dysfunction in the general population; The Rotterdam Study. </w:t>
      </w:r>
      <w:proofErr w:type="spellStart"/>
      <w:r w:rsidRPr="00320997">
        <w:rPr>
          <w:rFonts w:eastAsia="Times New Roman" w:cstheme="minorHAnsi"/>
          <w:sz w:val="24"/>
        </w:rPr>
        <w:t>EurHeart</w:t>
      </w:r>
      <w:proofErr w:type="spellEnd"/>
      <w:r w:rsidRPr="00320997">
        <w:rPr>
          <w:rFonts w:eastAsia="Times New Roman" w:cstheme="minorHAnsi"/>
          <w:sz w:val="24"/>
        </w:rPr>
        <w:t xml:space="preserve"> J[Internet].1999 [citado 23 </w:t>
      </w:r>
      <w:proofErr w:type="spellStart"/>
      <w:r w:rsidRPr="00320997">
        <w:rPr>
          <w:rFonts w:eastAsia="Times New Roman" w:cstheme="minorHAnsi"/>
          <w:sz w:val="24"/>
        </w:rPr>
        <w:t>abr</w:t>
      </w:r>
      <w:proofErr w:type="spellEnd"/>
      <w:r w:rsidRPr="00320997">
        <w:rPr>
          <w:rFonts w:eastAsia="Times New Roman" w:cstheme="minorHAnsi"/>
          <w:sz w:val="24"/>
        </w:rPr>
        <w:t xml:space="preserve"> 2019];20(6):447-55.Disponible en: https://watermark.silverchair.com/447.pdf?token=AQECAHi208BE49Ooan9kkhW_Ercy7Dm3ZL_9Cf3qfKAc485ysgAAAqswggKnBgkqhkiG9w0BBwagggKYMIIClAIBADCCAo0GCSqGSIb3DQEHATAeBglghkgBZQMEAS4wEQQM7qTO5-ApY8QxQRsbAgEQgIICXspjwtP63D63-8i6be_ogK28yyxl-jA1cPws7BqSoXKd9-6YjBtE9Smwq-N6g5blCVbNTyDDMNsydYggRz9Hn12Dt1uenF7FfbXYKh8P6vOXBSi-OlMpLS8-flqHFKKFIg8Yar931Y_2gKPxTywpP_WGrnEIinujpaGTh2LM17Yp9KLig4nJMXMok1jvy3ltIWIBwdE66GAgPmDL5TbO9jtEBvbsMK_HqUi_sD8b58n9Cchu9jzfJGptLxREGe6iJ8xAimJYPaLWJZjZ4WKRc3S3rNNlj2PGC0o5WSrd_dYQhBMHM22fagTpZZZiTJ1RF5OBvlCckFz3Gt82x9GPlfrCo71aKhRxKy24KI-UbM2184dqgijWHYxFTE5fv_RZNintVvmu0gDP-O7WQ6toxfXEogT2vQUlM5ejzzZnxnly48nC6DWV1yFThPPkqe1g4Pf2DOhuzeEhQH7MZ-XWDE_uWusRxj7uHhRWbIgeAaxXnapRg1oirnWrvzMXnddJUbGay_SFjQhSDume6BNnjGa6dxOlbGGZLyjIUlOv2JZTysKK5n-5fgUSKKCWQ9lrc-_ZFgAJ8gnvLbT1265g9oQ2hqGSBk_ZeSEgR93TC5SekIqg1Hz22CRziNC3NDGeGlI2GBacfimDSp2abnb1VwPXSzU7BI9RxS2_ZdokDOmS4CYnbvI9J5GOMOO9HMxTYEuy-4NGYbp3rqOxIRmv5RoDu8IDy8VOWwiwPod1_8mqm-l1Yzf8wUmqEHl6thZ47ml9QzQaBU09IFtx5epnPA4F3oaAuyP4uFZ4nBdnfw</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proofErr w:type="spellStart"/>
      <w:r w:rsidRPr="00320997">
        <w:rPr>
          <w:rFonts w:eastAsia="Times New Roman" w:cstheme="minorHAnsi"/>
          <w:sz w:val="24"/>
        </w:rPr>
        <w:t>Doval</w:t>
      </w:r>
      <w:proofErr w:type="spellEnd"/>
      <w:r w:rsidRPr="00320997">
        <w:rPr>
          <w:rFonts w:eastAsia="Times New Roman" w:cstheme="minorHAnsi"/>
          <w:sz w:val="24"/>
        </w:rPr>
        <w:t xml:space="preserve"> HC, </w:t>
      </w:r>
      <w:proofErr w:type="spellStart"/>
      <w:r w:rsidRPr="00320997">
        <w:rPr>
          <w:rFonts w:eastAsia="Times New Roman" w:cstheme="minorHAnsi"/>
          <w:sz w:val="24"/>
        </w:rPr>
        <w:t>Tajer</w:t>
      </w:r>
      <w:proofErr w:type="spellEnd"/>
      <w:r w:rsidRPr="00320997">
        <w:rPr>
          <w:rFonts w:eastAsia="Times New Roman" w:cstheme="minorHAnsi"/>
          <w:sz w:val="24"/>
        </w:rPr>
        <w:t xml:space="preserve"> CD. Evidencias en Cardiología: De los ensayos clínicos a las conductas terapéuticas. 8va ed. Editorial GEDIC; 2016. p.1264.</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proofErr w:type="spellStart"/>
      <w:r w:rsidRPr="00320997">
        <w:rPr>
          <w:rFonts w:eastAsia="Times New Roman" w:cstheme="minorHAnsi"/>
          <w:sz w:val="24"/>
        </w:rPr>
        <w:t>Petit</w:t>
      </w:r>
      <w:proofErr w:type="spellEnd"/>
      <w:r w:rsidRPr="00320997">
        <w:rPr>
          <w:rFonts w:eastAsia="Times New Roman" w:cstheme="minorHAnsi"/>
          <w:sz w:val="24"/>
        </w:rPr>
        <w:t xml:space="preserve"> GM. Suficiencia e insuficiencia cardiaca, fisiología, fisiopatología y tratamiento. España: Salvat; 1984.</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lang w:val="en-US"/>
        </w:rPr>
      </w:pPr>
      <w:proofErr w:type="spellStart"/>
      <w:r w:rsidRPr="00320997">
        <w:rPr>
          <w:rFonts w:eastAsia="Times New Roman" w:cstheme="minorHAnsi"/>
          <w:sz w:val="24"/>
        </w:rPr>
        <w:lastRenderedPageBreak/>
        <w:t>Grigioni</w:t>
      </w:r>
      <w:proofErr w:type="spellEnd"/>
      <w:r w:rsidRPr="00320997">
        <w:rPr>
          <w:rFonts w:eastAsia="Times New Roman" w:cstheme="minorHAnsi"/>
          <w:sz w:val="24"/>
        </w:rPr>
        <w:t xml:space="preserve"> F, </w:t>
      </w:r>
      <w:proofErr w:type="spellStart"/>
      <w:r w:rsidRPr="00320997">
        <w:rPr>
          <w:rFonts w:eastAsia="Times New Roman" w:cstheme="minorHAnsi"/>
          <w:sz w:val="24"/>
        </w:rPr>
        <w:t>Carinci</w:t>
      </w:r>
      <w:proofErr w:type="spellEnd"/>
      <w:r w:rsidRPr="00320997">
        <w:rPr>
          <w:rFonts w:eastAsia="Times New Roman" w:cstheme="minorHAnsi"/>
          <w:sz w:val="24"/>
        </w:rPr>
        <w:t xml:space="preserve"> V, </w:t>
      </w:r>
      <w:proofErr w:type="spellStart"/>
      <w:r w:rsidRPr="00320997">
        <w:rPr>
          <w:rFonts w:eastAsia="Times New Roman" w:cstheme="minorHAnsi"/>
          <w:sz w:val="24"/>
        </w:rPr>
        <w:t>Favero</w:t>
      </w:r>
      <w:proofErr w:type="spellEnd"/>
      <w:r w:rsidRPr="00320997">
        <w:rPr>
          <w:rFonts w:eastAsia="Times New Roman" w:cstheme="minorHAnsi"/>
          <w:sz w:val="24"/>
        </w:rPr>
        <w:t xml:space="preserve"> L, </w:t>
      </w:r>
      <w:proofErr w:type="spellStart"/>
      <w:r w:rsidRPr="00320997">
        <w:rPr>
          <w:rFonts w:eastAsia="Times New Roman" w:cstheme="minorHAnsi"/>
          <w:sz w:val="24"/>
        </w:rPr>
        <w:t>BacchiReggiani</w:t>
      </w:r>
      <w:proofErr w:type="spellEnd"/>
      <w:r w:rsidRPr="00320997">
        <w:rPr>
          <w:rFonts w:eastAsia="Times New Roman" w:cstheme="minorHAnsi"/>
          <w:sz w:val="24"/>
        </w:rPr>
        <w:t xml:space="preserve"> L, </w:t>
      </w:r>
      <w:proofErr w:type="spellStart"/>
      <w:r w:rsidRPr="00320997">
        <w:rPr>
          <w:rFonts w:eastAsia="Times New Roman" w:cstheme="minorHAnsi"/>
          <w:sz w:val="24"/>
        </w:rPr>
        <w:t>Magnani</w:t>
      </w:r>
      <w:proofErr w:type="spellEnd"/>
      <w:r w:rsidRPr="00320997">
        <w:rPr>
          <w:rFonts w:eastAsia="Times New Roman" w:cstheme="minorHAnsi"/>
          <w:sz w:val="24"/>
        </w:rPr>
        <w:t xml:space="preserve"> G, </w:t>
      </w:r>
      <w:proofErr w:type="spellStart"/>
      <w:r w:rsidRPr="00320997">
        <w:rPr>
          <w:rFonts w:eastAsia="Times New Roman" w:cstheme="minorHAnsi"/>
          <w:sz w:val="24"/>
        </w:rPr>
        <w:t>Potena</w:t>
      </w:r>
      <w:proofErr w:type="spellEnd"/>
      <w:r w:rsidRPr="00320997">
        <w:rPr>
          <w:rFonts w:eastAsia="Times New Roman" w:cstheme="minorHAnsi"/>
          <w:sz w:val="24"/>
        </w:rPr>
        <w:t xml:space="preserve"> L, et al. </w:t>
      </w:r>
      <w:r w:rsidRPr="00320997">
        <w:rPr>
          <w:rFonts w:eastAsia="Times New Roman" w:cstheme="minorHAnsi"/>
          <w:sz w:val="24"/>
          <w:lang w:val="en-GB"/>
        </w:rPr>
        <w:t xml:space="preserve">Hospitalization for congestive heart failure: is still a cardiology business? </w:t>
      </w:r>
      <w:proofErr w:type="spellStart"/>
      <w:r w:rsidRPr="00320997">
        <w:rPr>
          <w:rFonts w:eastAsia="Times New Roman" w:cstheme="minorHAnsi"/>
          <w:sz w:val="24"/>
          <w:lang w:val="en-US"/>
        </w:rPr>
        <w:t>Eur</w:t>
      </w:r>
      <w:proofErr w:type="spellEnd"/>
      <w:r w:rsidRPr="00320997">
        <w:rPr>
          <w:rFonts w:eastAsia="Times New Roman" w:cstheme="minorHAnsi"/>
          <w:sz w:val="24"/>
          <w:lang w:val="en-US"/>
        </w:rPr>
        <w:t xml:space="preserve"> J Heart Fail. 2017; 4:99-104.</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proofErr w:type="spellStart"/>
      <w:r w:rsidRPr="00320997">
        <w:rPr>
          <w:rFonts w:eastAsia="Times New Roman" w:cstheme="minorHAnsi"/>
          <w:sz w:val="24"/>
        </w:rPr>
        <w:t>Braunwald</w:t>
      </w:r>
      <w:proofErr w:type="spellEnd"/>
      <w:r w:rsidRPr="00320997">
        <w:rPr>
          <w:rFonts w:eastAsia="Times New Roman" w:cstheme="minorHAnsi"/>
          <w:sz w:val="24"/>
        </w:rPr>
        <w:t xml:space="preserve">. </w:t>
      </w:r>
      <w:proofErr w:type="spellStart"/>
      <w:r w:rsidRPr="00320997">
        <w:rPr>
          <w:rFonts w:eastAsia="Times New Roman" w:cstheme="minorHAnsi"/>
          <w:sz w:val="24"/>
        </w:rPr>
        <w:t>Braunwald</w:t>
      </w:r>
      <w:proofErr w:type="spellEnd"/>
      <w:r w:rsidRPr="00320997">
        <w:rPr>
          <w:rFonts w:eastAsia="Times New Roman" w:cstheme="minorHAnsi"/>
          <w:sz w:val="24"/>
        </w:rPr>
        <w:t xml:space="preserve">. Tratado de cardiología.11 ed. </w:t>
      </w:r>
      <w:proofErr w:type="spellStart"/>
      <w:r w:rsidRPr="00320997">
        <w:rPr>
          <w:rFonts w:eastAsia="Times New Roman" w:cstheme="minorHAnsi"/>
          <w:sz w:val="24"/>
        </w:rPr>
        <w:t>Elservier</w:t>
      </w:r>
      <w:proofErr w:type="spellEnd"/>
      <w:r w:rsidRPr="00320997">
        <w:rPr>
          <w:rFonts w:eastAsia="Times New Roman" w:cstheme="minorHAnsi"/>
          <w:sz w:val="24"/>
        </w:rPr>
        <w:t>; 2019.p. 2056. [citado 5 ene 2020]. Disponible en: https://www.elsevier.com/books/braunwald-tratado-de-cardiologia/zipes/978-84-9113-398-8</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r w:rsidRPr="00320997">
        <w:rPr>
          <w:rFonts w:eastAsia="Times New Roman" w:cstheme="minorHAnsi"/>
          <w:sz w:val="24"/>
        </w:rPr>
        <w:t xml:space="preserve">Maldonado JC. Epidemiología de la insuficiencia cardiaca. Rev. </w:t>
      </w:r>
      <w:proofErr w:type="spellStart"/>
      <w:r w:rsidRPr="00320997">
        <w:rPr>
          <w:rFonts w:eastAsia="Times New Roman" w:cstheme="minorHAnsi"/>
          <w:sz w:val="24"/>
        </w:rPr>
        <w:t>Med</w:t>
      </w:r>
      <w:proofErr w:type="spellEnd"/>
      <w:r w:rsidRPr="00320997">
        <w:rPr>
          <w:rFonts w:eastAsia="Times New Roman" w:cstheme="minorHAnsi"/>
          <w:sz w:val="24"/>
        </w:rPr>
        <w:t xml:space="preserve">. </w:t>
      </w:r>
      <w:proofErr w:type="spellStart"/>
      <w:r w:rsidRPr="00320997">
        <w:rPr>
          <w:rFonts w:eastAsia="Times New Roman" w:cstheme="minorHAnsi"/>
          <w:sz w:val="24"/>
        </w:rPr>
        <w:t>Vozandes</w:t>
      </w:r>
      <w:proofErr w:type="spellEnd"/>
      <w:r w:rsidRPr="00320997">
        <w:rPr>
          <w:rFonts w:eastAsia="Times New Roman" w:cstheme="minorHAnsi"/>
          <w:sz w:val="24"/>
        </w:rPr>
        <w:t xml:space="preserve"> [Internet].2018 [citado 6 de </w:t>
      </w:r>
      <w:proofErr w:type="spellStart"/>
      <w:r w:rsidRPr="00320997">
        <w:rPr>
          <w:rFonts w:eastAsia="Times New Roman" w:cstheme="minorHAnsi"/>
          <w:sz w:val="24"/>
        </w:rPr>
        <w:t>nov</w:t>
      </w:r>
      <w:proofErr w:type="spellEnd"/>
      <w:r w:rsidRPr="00320997">
        <w:rPr>
          <w:rFonts w:eastAsia="Times New Roman" w:cstheme="minorHAnsi"/>
          <w:sz w:val="24"/>
        </w:rPr>
        <w:t xml:space="preserve"> 2019]; 29: 51 – 5. Disponible en: http://docs.bvsalud.org/biblioref/2019/05/997036/edit.pdf.</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r w:rsidRPr="00320997">
        <w:rPr>
          <w:rFonts w:eastAsia="Times New Roman" w:cstheme="minorHAnsi"/>
          <w:sz w:val="24"/>
        </w:rPr>
        <w:t>Cuba. Ministerio de Salud Pública. Anuario Estadístico de Salud 2019. La Habana: Dirección Nacional de Registros Médicos y Estadísticas de Salud; 2020.  [citado 25 ene 2020]. Disponible en: https://files.sld.cu/bvscuba/files/2020/05/Anuario-Electr%c3%b3nico-Espa%c3%b1ol-2019-ed-2020.pdf</w:t>
      </w:r>
    </w:p>
    <w:p w:rsidR="00E131C8" w:rsidRPr="00320997" w:rsidRDefault="00E131C8" w:rsidP="00E131C8">
      <w:pPr>
        <w:numPr>
          <w:ilvl w:val="0"/>
          <w:numId w:val="6"/>
        </w:numPr>
        <w:tabs>
          <w:tab w:val="clear" w:pos="1065"/>
          <w:tab w:val="num" w:pos="709"/>
        </w:tabs>
        <w:spacing w:before="240" w:after="0" w:line="336" w:lineRule="auto"/>
        <w:ind w:left="709" w:hanging="703"/>
        <w:jc w:val="both"/>
        <w:rPr>
          <w:rFonts w:eastAsia="Times New Roman" w:cstheme="minorHAnsi"/>
          <w:sz w:val="24"/>
        </w:rPr>
      </w:pPr>
      <w:r w:rsidRPr="00320997">
        <w:rPr>
          <w:rFonts w:eastAsia="Times New Roman" w:cstheme="minorHAnsi"/>
          <w:sz w:val="24"/>
          <w:lang w:val="en-US"/>
        </w:rPr>
        <w:t xml:space="preserve">Goldman l, Schafer AI. Goldman–Cecil. </w:t>
      </w:r>
      <w:r w:rsidRPr="00320997">
        <w:rPr>
          <w:rFonts w:eastAsia="Times New Roman" w:cstheme="minorHAnsi"/>
          <w:sz w:val="24"/>
        </w:rPr>
        <w:t xml:space="preserve">Tratado de Medicina Interna. 25 ed. España: </w:t>
      </w:r>
      <w:proofErr w:type="spellStart"/>
      <w:r w:rsidRPr="00320997">
        <w:rPr>
          <w:rFonts w:eastAsia="Times New Roman" w:cstheme="minorHAnsi"/>
          <w:sz w:val="24"/>
        </w:rPr>
        <w:t>Elservier</w:t>
      </w:r>
      <w:proofErr w:type="spellEnd"/>
      <w:r w:rsidRPr="00320997">
        <w:rPr>
          <w:rFonts w:eastAsia="Times New Roman" w:cstheme="minorHAnsi"/>
          <w:sz w:val="24"/>
        </w:rPr>
        <w:t>; 2017. [citado 11 mar 2019]. Disponible en: https://booksmedicos.org/goldman-cecil-tratado-de-medicina-interna-25a-edicion/</w:t>
      </w:r>
    </w:p>
    <w:p w:rsidR="00E131C8" w:rsidRPr="00320997" w:rsidRDefault="00E131C8" w:rsidP="00E131C8">
      <w:pPr>
        <w:numPr>
          <w:ilvl w:val="0"/>
          <w:numId w:val="6"/>
        </w:numPr>
        <w:tabs>
          <w:tab w:val="clear" w:pos="1065"/>
          <w:tab w:val="num" w:pos="709"/>
        </w:tabs>
        <w:spacing w:before="240" w:after="0" w:line="336" w:lineRule="auto"/>
        <w:ind w:left="709" w:hanging="703"/>
        <w:jc w:val="both"/>
        <w:rPr>
          <w:rFonts w:eastAsia="Times New Roman" w:cstheme="minorHAnsi"/>
          <w:sz w:val="24"/>
        </w:rPr>
      </w:pPr>
      <w:r w:rsidRPr="00320997">
        <w:rPr>
          <w:rFonts w:eastAsia="Times New Roman" w:cstheme="minorHAnsi"/>
          <w:sz w:val="24"/>
        </w:rPr>
        <w:t xml:space="preserve">Pereira-Rodríguez JE, Rincón-González G, Niño-Serrato DR. Insuficiencia cardiaca: Aspectos básicos de una epidemia en aumento. </w:t>
      </w:r>
      <w:proofErr w:type="spellStart"/>
      <w:r w:rsidRPr="00320997">
        <w:rPr>
          <w:rFonts w:eastAsia="Times New Roman" w:cstheme="minorHAnsi"/>
          <w:sz w:val="24"/>
        </w:rPr>
        <w:t>CorSalud</w:t>
      </w:r>
      <w:proofErr w:type="spellEnd"/>
      <w:r w:rsidRPr="00320997">
        <w:rPr>
          <w:rFonts w:eastAsia="Times New Roman" w:cstheme="minorHAnsi"/>
          <w:sz w:val="24"/>
        </w:rPr>
        <w:t xml:space="preserve"> [Internet] 2016[citado 4 </w:t>
      </w:r>
      <w:proofErr w:type="spellStart"/>
      <w:r w:rsidRPr="00320997">
        <w:rPr>
          <w:rFonts w:eastAsia="Times New Roman" w:cstheme="minorHAnsi"/>
          <w:sz w:val="24"/>
        </w:rPr>
        <w:t>dic</w:t>
      </w:r>
      <w:proofErr w:type="spellEnd"/>
      <w:r w:rsidRPr="00320997">
        <w:rPr>
          <w:rFonts w:eastAsia="Times New Roman" w:cstheme="minorHAnsi"/>
          <w:sz w:val="24"/>
        </w:rPr>
        <w:t xml:space="preserve"> 2019]</w:t>
      </w:r>
      <w:proofErr w:type="gramStart"/>
      <w:r w:rsidRPr="00320997">
        <w:rPr>
          <w:rFonts w:eastAsia="Times New Roman" w:cstheme="minorHAnsi"/>
          <w:sz w:val="24"/>
        </w:rPr>
        <w:t>;8</w:t>
      </w:r>
      <w:proofErr w:type="gramEnd"/>
      <w:r w:rsidRPr="00320997">
        <w:rPr>
          <w:rFonts w:eastAsia="Times New Roman" w:cstheme="minorHAnsi"/>
          <w:sz w:val="24"/>
        </w:rPr>
        <w:t>(1):58-70. Disponible en: http://www.revcorsalud.sld.cu/index.php/cors/article/view/98/240</w:t>
      </w:r>
    </w:p>
    <w:p w:rsidR="00E131C8" w:rsidRPr="00320997" w:rsidRDefault="00E131C8" w:rsidP="00E131C8">
      <w:pPr>
        <w:numPr>
          <w:ilvl w:val="0"/>
          <w:numId w:val="6"/>
        </w:numPr>
        <w:tabs>
          <w:tab w:val="clear" w:pos="1065"/>
          <w:tab w:val="num" w:pos="709"/>
        </w:tabs>
        <w:spacing w:before="240" w:after="0" w:line="336" w:lineRule="auto"/>
        <w:ind w:left="709" w:hanging="703"/>
        <w:jc w:val="both"/>
        <w:rPr>
          <w:rFonts w:eastAsia="Times New Roman" w:cstheme="minorHAnsi"/>
          <w:sz w:val="24"/>
        </w:rPr>
      </w:pPr>
      <w:proofErr w:type="spellStart"/>
      <w:r w:rsidRPr="00320997">
        <w:rPr>
          <w:rFonts w:eastAsia="Times New Roman" w:cstheme="minorHAnsi"/>
          <w:sz w:val="24"/>
        </w:rPr>
        <w:t>Terzic</w:t>
      </w:r>
      <w:proofErr w:type="spellEnd"/>
      <w:r w:rsidRPr="00320997">
        <w:rPr>
          <w:rFonts w:eastAsia="Times New Roman" w:cstheme="minorHAnsi"/>
          <w:sz w:val="24"/>
        </w:rPr>
        <w:t xml:space="preserve"> A, Pérez-</w:t>
      </w:r>
      <w:proofErr w:type="spellStart"/>
      <w:r w:rsidRPr="00320997">
        <w:rPr>
          <w:rFonts w:eastAsia="Times New Roman" w:cstheme="minorHAnsi"/>
          <w:sz w:val="24"/>
        </w:rPr>
        <w:t>Terzic</w:t>
      </w:r>
      <w:proofErr w:type="spellEnd"/>
      <w:r w:rsidRPr="00320997">
        <w:rPr>
          <w:rFonts w:eastAsia="Times New Roman" w:cstheme="minorHAnsi"/>
          <w:sz w:val="24"/>
        </w:rPr>
        <w:t xml:space="preserve"> C. Terapia celular para la insuficiencia cardiaca. Rev. </w:t>
      </w:r>
      <w:proofErr w:type="spellStart"/>
      <w:r w:rsidRPr="00320997">
        <w:rPr>
          <w:rFonts w:eastAsia="Times New Roman" w:cstheme="minorHAnsi"/>
          <w:sz w:val="24"/>
        </w:rPr>
        <w:t>Esp</w:t>
      </w:r>
      <w:proofErr w:type="spellEnd"/>
      <w:r w:rsidRPr="00320997">
        <w:rPr>
          <w:rFonts w:eastAsia="Times New Roman" w:cstheme="minorHAnsi"/>
          <w:sz w:val="24"/>
        </w:rPr>
        <w:t xml:space="preserve">. </w:t>
      </w:r>
      <w:proofErr w:type="spellStart"/>
      <w:r w:rsidRPr="00320997">
        <w:rPr>
          <w:rFonts w:eastAsia="Times New Roman" w:cstheme="minorHAnsi"/>
          <w:sz w:val="24"/>
        </w:rPr>
        <w:t>Cardiol</w:t>
      </w:r>
      <w:proofErr w:type="spellEnd"/>
      <w:r w:rsidRPr="00320997">
        <w:rPr>
          <w:rFonts w:eastAsia="Times New Roman" w:cstheme="minorHAnsi"/>
          <w:sz w:val="24"/>
        </w:rPr>
        <w:t xml:space="preserve"> [Internet]. 2010[citado 25 ene 2020]</w:t>
      </w:r>
      <w:proofErr w:type="gramStart"/>
      <w:r w:rsidRPr="00320997">
        <w:rPr>
          <w:rFonts w:eastAsia="Times New Roman" w:cstheme="minorHAnsi"/>
          <w:sz w:val="24"/>
        </w:rPr>
        <w:t>;63</w:t>
      </w:r>
      <w:proofErr w:type="gramEnd"/>
      <w:r w:rsidRPr="00320997">
        <w:rPr>
          <w:rFonts w:eastAsia="Times New Roman" w:cstheme="minorHAnsi"/>
          <w:sz w:val="24"/>
        </w:rPr>
        <w:t>: 1117-9. Disponible en: https://www.revespcardiol.org/es-terapia-celular-insuficiencia-cardiaca-articulo-13155716</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r w:rsidRPr="00320997">
        <w:rPr>
          <w:rFonts w:eastAsia="Times New Roman" w:cstheme="minorHAnsi"/>
          <w:sz w:val="24"/>
          <w:lang w:val="pt-BR"/>
        </w:rPr>
        <w:lastRenderedPageBreak/>
        <w:t xml:space="preserve">Batista Júnior ML, </w:t>
      </w:r>
      <w:proofErr w:type="spellStart"/>
      <w:r w:rsidRPr="00320997">
        <w:rPr>
          <w:rFonts w:eastAsia="Times New Roman" w:cstheme="minorHAnsi"/>
          <w:sz w:val="24"/>
          <w:lang w:val="pt-BR"/>
        </w:rPr>
        <w:t>Delascio</w:t>
      </w:r>
      <w:proofErr w:type="spellEnd"/>
      <w:r w:rsidRPr="00320997">
        <w:rPr>
          <w:rFonts w:eastAsia="Times New Roman" w:cstheme="minorHAnsi"/>
          <w:sz w:val="24"/>
          <w:lang w:val="pt-BR"/>
        </w:rPr>
        <w:t xml:space="preserve"> Lopes R, Leite </w:t>
      </w:r>
      <w:proofErr w:type="spellStart"/>
      <w:r w:rsidRPr="00320997">
        <w:rPr>
          <w:rFonts w:eastAsia="Times New Roman" w:cstheme="minorHAnsi"/>
          <w:sz w:val="24"/>
          <w:lang w:val="pt-BR"/>
        </w:rPr>
        <w:t>Seelaender</w:t>
      </w:r>
      <w:proofErr w:type="spellEnd"/>
      <w:r w:rsidRPr="00320997">
        <w:rPr>
          <w:rFonts w:eastAsia="Times New Roman" w:cstheme="minorHAnsi"/>
          <w:sz w:val="24"/>
          <w:lang w:val="pt-BR"/>
        </w:rPr>
        <w:t xml:space="preserve"> MC, Lopes AC. </w:t>
      </w:r>
      <w:r w:rsidRPr="00320997">
        <w:rPr>
          <w:rFonts w:eastAsia="Times New Roman" w:cstheme="minorHAnsi"/>
          <w:sz w:val="24"/>
        </w:rPr>
        <w:t xml:space="preserve">Efecto antiinflamatorio </w:t>
      </w:r>
      <w:proofErr w:type="gramStart"/>
      <w:r w:rsidRPr="00320997">
        <w:rPr>
          <w:rFonts w:eastAsia="Times New Roman" w:cstheme="minorHAnsi"/>
          <w:sz w:val="24"/>
        </w:rPr>
        <w:t>del</w:t>
      </w:r>
      <w:proofErr w:type="gramEnd"/>
      <w:r w:rsidRPr="00320997">
        <w:rPr>
          <w:rFonts w:eastAsia="Times New Roman" w:cstheme="minorHAnsi"/>
          <w:sz w:val="24"/>
        </w:rPr>
        <w:t xml:space="preserve"> entrenamiento físico en la insuficiencia cardiaca: Rol del TNF-α y de la IL-10. </w:t>
      </w:r>
      <w:proofErr w:type="spellStart"/>
      <w:r w:rsidRPr="00320997">
        <w:rPr>
          <w:rFonts w:eastAsia="Times New Roman" w:cstheme="minorHAnsi"/>
          <w:sz w:val="24"/>
        </w:rPr>
        <w:t>ArqBrasCardiol</w:t>
      </w:r>
      <w:proofErr w:type="spellEnd"/>
      <w:r w:rsidRPr="00320997">
        <w:rPr>
          <w:rFonts w:eastAsia="Times New Roman" w:cstheme="minorHAnsi"/>
          <w:sz w:val="24"/>
        </w:rPr>
        <w:t xml:space="preserve"> [Internet]. 2009[citado 25 ene 2020]; 93(6):675-83. Disponible en: https://www.scielo.br/pdf/abc/v93n6/es_21.pdf</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proofErr w:type="spellStart"/>
      <w:r w:rsidRPr="00320997">
        <w:rPr>
          <w:rFonts w:eastAsia="Times New Roman" w:cstheme="minorHAnsi"/>
          <w:sz w:val="24"/>
        </w:rPr>
        <w:t>Cagide</w:t>
      </w:r>
      <w:proofErr w:type="spellEnd"/>
      <w:r w:rsidRPr="00320997">
        <w:rPr>
          <w:rFonts w:eastAsia="Times New Roman" w:cstheme="minorHAnsi"/>
          <w:sz w:val="24"/>
        </w:rPr>
        <w:t xml:space="preserve"> A. Evolución del tratamiento de la insuficiencia cardiaca. </w:t>
      </w:r>
      <w:proofErr w:type="spellStart"/>
      <w:proofErr w:type="gramStart"/>
      <w:r w:rsidRPr="00320997">
        <w:rPr>
          <w:rFonts w:eastAsia="Times New Roman" w:cstheme="minorHAnsi"/>
          <w:sz w:val="24"/>
        </w:rPr>
        <w:t>InsufCard</w:t>
      </w:r>
      <w:proofErr w:type="spellEnd"/>
      <w:r w:rsidRPr="00320997">
        <w:rPr>
          <w:rFonts w:eastAsia="Times New Roman" w:cstheme="minorHAnsi"/>
          <w:sz w:val="24"/>
        </w:rPr>
        <w:t>[</w:t>
      </w:r>
      <w:proofErr w:type="gramEnd"/>
      <w:r w:rsidRPr="00320997">
        <w:rPr>
          <w:rFonts w:eastAsia="Times New Roman" w:cstheme="minorHAnsi"/>
          <w:sz w:val="24"/>
        </w:rPr>
        <w:t xml:space="preserve">Internet]. 2015[citado 25 ene 2020]; 10:49-55. Disponible en: </w:t>
      </w:r>
      <w:hyperlink r:id="rId6" w:history="1">
        <w:r w:rsidRPr="00320997">
          <w:rPr>
            <w:rStyle w:val="Hipervnculo"/>
            <w:rFonts w:eastAsia="Times New Roman" w:cstheme="minorHAnsi"/>
            <w:sz w:val="24"/>
          </w:rPr>
          <w:t>http://www.insuficienciacardiaca.org/pdf/v10n1_15/v10n1a06.pdf</w:t>
        </w:r>
      </w:hyperlink>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r w:rsidRPr="00320997">
        <w:rPr>
          <w:rFonts w:eastAsia="Times New Roman" w:cstheme="minorHAnsi"/>
          <w:sz w:val="24"/>
        </w:rPr>
        <w:t>Pascual-</w:t>
      </w:r>
      <w:proofErr w:type="spellStart"/>
      <w:r w:rsidRPr="00320997">
        <w:rPr>
          <w:rFonts w:eastAsia="Times New Roman" w:cstheme="minorHAnsi"/>
          <w:sz w:val="24"/>
        </w:rPr>
        <w:t>Figala</w:t>
      </w:r>
      <w:proofErr w:type="spellEnd"/>
      <w:r w:rsidRPr="00320997">
        <w:rPr>
          <w:rFonts w:eastAsia="Times New Roman" w:cstheme="minorHAnsi"/>
          <w:sz w:val="24"/>
        </w:rPr>
        <w:t xml:space="preserve"> DA, </w:t>
      </w:r>
      <w:proofErr w:type="spellStart"/>
      <w:r w:rsidRPr="00320997">
        <w:rPr>
          <w:rFonts w:eastAsia="Times New Roman" w:cstheme="minorHAnsi"/>
          <w:sz w:val="24"/>
        </w:rPr>
        <w:t>Casademontb</w:t>
      </w:r>
      <w:proofErr w:type="spellEnd"/>
      <w:r w:rsidRPr="00320997">
        <w:rPr>
          <w:rFonts w:eastAsia="Times New Roman" w:cstheme="minorHAnsi"/>
          <w:sz w:val="24"/>
        </w:rPr>
        <w:t xml:space="preserve"> J, </w:t>
      </w:r>
      <w:proofErr w:type="spellStart"/>
      <w:r w:rsidRPr="00320997">
        <w:rPr>
          <w:rFonts w:eastAsia="Times New Roman" w:cstheme="minorHAnsi"/>
          <w:sz w:val="24"/>
        </w:rPr>
        <w:t>Lobosc</w:t>
      </w:r>
      <w:proofErr w:type="spellEnd"/>
      <w:r w:rsidRPr="00320997">
        <w:rPr>
          <w:rFonts w:eastAsia="Times New Roman" w:cstheme="minorHAnsi"/>
          <w:sz w:val="24"/>
        </w:rPr>
        <w:t xml:space="preserve"> JM, </w:t>
      </w:r>
      <w:proofErr w:type="spellStart"/>
      <w:r w:rsidRPr="00320997">
        <w:rPr>
          <w:rFonts w:eastAsia="Times New Roman" w:cstheme="minorHAnsi"/>
          <w:sz w:val="24"/>
        </w:rPr>
        <w:t>Pinerad</w:t>
      </w:r>
      <w:proofErr w:type="spellEnd"/>
      <w:r w:rsidRPr="00320997">
        <w:rPr>
          <w:rFonts w:eastAsia="Times New Roman" w:cstheme="minorHAnsi"/>
          <w:sz w:val="24"/>
        </w:rPr>
        <w:t xml:space="preserve"> P, </w:t>
      </w:r>
      <w:proofErr w:type="spellStart"/>
      <w:r w:rsidRPr="00320997">
        <w:rPr>
          <w:rFonts w:eastAsia="Times New Roman" w:cstheme="minorHAnsi"/>
          <w:sz w:val="24"/>
        </w:rPr>
        <w:t>Bayés</w:t>
      </w:r>
      <w:proofErr w:type="spellEnd"/>
      <w:r w:rsidRPr="00320997">
        <w:rPr>
          <w:rFonts w:eastAsia="Times New Roman" w:cstheme="minorHAnsi"/>
          <w:sz w:val="24"/>
        </w:rPr>
        <w:t xml:space="preserve">-Genisa A, </w:t>
      </w:r>
      <w:proofErr w:type="spellStart"/>
      <w:r w:rsidRPr="00320997">
        <w:rPr>
          <w:rFonts w:eastAsia="Times New Roman" w:cstheme="minorHAnsi"/>
          <w:sz w:val="24"/>
        </w:rPr>
        <w:t>Ordónez-Llanosay</w:t>
      </w:r>
      <w:proofErr w:type="spellEnd"/>
      <w:r w:rsidRPr="00320997">
        <w:rPr>
          <w:rFonts w:eastAsia="Times New Roman" w:cstheme="minorHAnsi"/>
          <w:sz w:val="24"/>
        </w:rPr>
        <w:t xml:space="preserve"> J, et al. Documento de consenso y recomendaciones sobre el uso de los péptidos </w:t>
      </w:r>
      <w:proofErr w:type="spellStart"/>
      <w:r w:rsidRPr="00320997">
        <w:rPr>
          <w:rFonts w:eastAsia="Times New Roman" w:cstheme="minorHAnsi"/>
          <w:sz w:val="24"/>
        </w:rPr>
        <w:t>natriuréticos</w:t>
      </w:r>
      <w:proofErr w:type="spellEnd"/>
      <w:r w:rsidRPr="00320997">
        <w:rPr>
          <w:rFonts w:eastAsia="Times New Roman" w:cstheme="minorHAnsi"/>
          <w:sz w:val="24"/>
        </w:rPr>
        <w:t xml:space="preserve"> en la práctica clínica.  </w:t>
      </w:r>
      <w:proofErr w:type="spellStart"/>
      <w:r w:rsidRPr="00320997">
        <w:rPr>
          <w:rFonts w:eastAsia="Times New Roman" w:cstheme="minorHAnsi"/>
          <w:sz w:val="24"/>
        </w:rPr>
        <w:t>RevClinEsp</w:t>
      </w:r>
      <w:proofErr w:type="spellEnd"/>
      <w:r w:rsidRPr="00320997">
        <w:rPr>
          <w:rFonts w:eastAsia="Times New Roman" w:cstheme="minorHAnsi"/>
          <w:sz w:val="24"/>
        </w:rPr>
        <w:t xml:space="preserve"> [Internet]. 2016 [citado 7 </w:t>
      </w:r>
      <w:proofErr w:type="spellStart"/>
      <w:r w:rsidRPr="00320997">
        <w:rPr>
          <w:rFonts w:eastAsia="Times New Roman" w:cstheme="minorHAnsi"/>
          <w:sz w:val="24"/>
        </w:rPr>
        <w:t>dic</w:t>
      </w:r>
      <w:proofErr w:type="spellEnd"/>
      <w:r w:rsidRPr="00320997">
        <w:rPr>
          <w:rFonts w:eastAsia="Times New Roman" w:cstheme="minorHAnsi"/>
          <w:sz w:val="24"/>
        </w:rPr>
        <w:t xml:space="preserve"> 2019]. Disponible en: http://dx.doi.org/10.1016/j.rce.2016.02.008</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r w:rsidRPr="00320997">
        <w:rPr>
          <w:rFonts w:eastAsia="Times New Roman" w:cstheme="minorHAnsi"/>
          <w:sz w:val="24"/>
        </w:rPr>
        <w:t xml:space="preserve">Paredes Ca, Vega J, De León A, </w:t>
      </w:r>
      <w:proofErr w:type="spellStart"/>
      <w:r w:rsidRPr="00320997">
        <w:rPr>
          <w:rFonts w:eastAsia="Times New Roman" w:cstheme="minorHAnsi"/>
          <w:sz w:val="24"/>
        </w:rPr>
        <w:t>Kanacri</w:t>
      </w:r>
      <w:proofErr w:type="spellEnd"/>
      <w:r w:rsidRPr="00320997">
        <w:rPr>
          <w:rFonts w:eastAsia="Times New Roman" w:cstheme="minorHAnsi"/>
          <w:sz w:val="24"/>
        </w:rPr>
        <w:t xml:space="preserve"> A, Castro P, Baeza R. Utilidad de los biomarcadores en insuficiencia cardiaca en la práctica clínica. </w:t>
      </w:r>
      <w:proofErr w:type="spellStart"/>
      <w:proofErr w:type="gramStart"/>
      <w:r w:rsidRPr="00320997">
        <w:rPr>
          <w:rFonts w:eastAsia="Times New Roman" w:cstheme="minorHAnsi"/>
          <w:sz w:val="24"/>
        </w:rPr>
        <w:t>RevMedChile</w:t>
      </w:r>
      <w:proofErr w:type="spellEnd"/>
      <w:r w:rsidRPr="00320997">
        <w:rPr>
          <w:rFonts w:eastAsia="Times New Roman" w:cstheme="minorHAnsi"/>
          <w:sz w:val="24"/>
        </w:rPr>
        <w:t>[</w:t>
      </w:r>
      <w:proofErr w:type="gramEnd"/>
      <w:r w:rsidRPr="00320997">
        <w:rPr>
          <w:rFonts w:eastAsia="Times New Roman" w:cstheme="minorHAnsi"/>
          <w:sz w:val="24"/>
        </w:rPr>
        <w:t xml:space="preserve">Internet]. 2013[citado 12 </w:t>
      </w:r>
      <w:proofErr w:type="spellStart"/>
      <w:r w:rsidRPr="00320997">
        <w:rPr>
          <w:rFonts w:eastAsia="Times New Roman" w:cstheme="minorHAnsi"/>
          <w:sz w:val="24"/>
        </w:rPr>
        <w:t>feb</w:t>
      </w:r>
      <w:proofErr w:type="spellEnd"/>
      <w:r w:rsidRPr="00320997">
        <w:rPr>
          <w:rFonts w:eastAsia="Times New Roman" w:cstheme="minorHAnsi"/>
          <w:sz w:val="24"/>
        </w:rPr>
        <w:t xml:space="preserve"> 2020]; 141: 1560-9</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proofErr w:type="spellStart"/>
      <w:r w:rsidRPr="00320997">
        <w:rPr>
          <w:rFonts w:eastAsia="Times New Roman" w:cstheme="minorHAnsi"/>
          <w:sz w:val="24"/>
          <w:lang w:val="en-GB"/>
        </w:rPr>
        <w:t>Pluddemann</w:t>
      </w:r>
      <w:proofErr w:type="spellEnd"/>
      <w:r w:rsidRPr="00320997">
        <w:rPr>
          <w:rFonts w:eastAsia="Times New Roman" w:cstheme="minorHAnsi"/>
          <w:sz w:val="24"/>
          <w:lang w:val="en-GB"/>
        </w:rPr>
        <w:t xml:space="preserve"> A, Bankhead C, Taylor K, </w:t>
      </w:r>
      <w:proofErr w:type="spellStart"/>
      <w:r w:rsidRPr="00320997">
        <w:rPr>
          <w:rFonts w:eastAsia="Times New Roman" w:cstheme="minorHAnsi"/>
          <w:sz w:val="24"/>
          <w:lang w:val="en-GB"/>
        </w:rPr>
        <w:t>JVerbakel</w:t>
      </w:r>
      <w:proofErr w:type="spellEnd"/>
      <w:r w:rsidRPr="00320997">
        <w:rPr>
          <w:rFonts w:eastAsia="Times New Roman" w:cstheme="minorHAnsi"/>
          <w:sz w:val="24"/>
          <w:lang w:val="en-GB"/>
        </w:rPr>
        <w:t xml:space="preserve"> J. Accuracy of point-of-care B-type </w:t>
      </w:r>
      <w:proofErr w:type="spellStart"/>
      <w:r w:rsidRPr="00320997">
        <w:rPr>
          <w:rFonts w:eastAsia="Times New Roman" w:cstheme="minorHAnsi"/>
          <w:sz w:val="24"/>
          <w:lang w:val="en-GB"/>
        </w:rPr>
        <w:t>natriuretic</w:t>
      </w:r>
      <w:proofErr w:type="spellEnd"/>
      <w:r w:rsidRPr="00320997">
        <w:rPr>
          <w:rFonts w:eastAsia="Times New Roman" w:cstheme="minorHAnsi"/>
          <w:sz w:val="24"/>
          <w:lang w:val="en-GB"/>
        </w:rPr>
        <w:t xml:space="preserve"> peptide testing in the diagnosis and monitoring of chronic heart failure: a systematic review. </w:t>
      </w:r>
      <w:proofErr w:type="gramStart"/>
      <w:r w:rsidRPr="00320997">
        <w:rPr>
          <w:rFonts w:eastAsia="Times New Roman" w:cstheme="minorHAnsi"/>
          <w:sz w:val="24"/>
        </w:rPr>
        <w:t>PROSPERO[</w:t>
      </w:r>
      <w:proofErr w:type="gramEnd"/>
      <w:r w:rsidRPr="00320997">
        <w:rPr>
          <w:rFonts w:eastAsia="Times New Roman" w:cstheme="minorHAnsi"/>
          <w:sz w:val="24"/>
        </w:rPr>
        <w:t xml:space="preserve">Internet]. 2016[citado 17 </w:t>
      </w:r>
      <w:proofErr w:type="spellStart"/>
      <w:r w:rsidRPr="00320997">
        <w:rPr>
          <w:rFonts w:eastAsia="Times New Roman" w:cstheme="minorHAnsi"/>
          <w:sz w:val="24"/>
        </w:rPr>
        <w:t>feb</w:t>
      </w:r>
      <w:proofErr w:type="spellEnd"/>
      <w:r w:rsidRPr="00320997">
        <w:rPr>
          <w:rFonts w:eastAsia="Times New Roman" w:cstheme="minorHAnsi"/>
          <w:sz w:val="24"/>
        </w:rPr>
        <w:t xml:space="preserve"> 2019]: CRD42016046902.Disponible en:  [http://www.crd.york.ac.uk/prospero/display_record.asp?src=trip&amp;ID=CRD42016046902]</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r w:rsidRPr="00320997">
        <w:rPr>
          <w:rFonts w:eastAsia="Times New Roman" w:cstheme="minorHAnsi"/>
          <w:sz w:val="24"/>
        </w:rPr>
        <w:t>García-</w:t>
      </w:r>
      <w:proofErr w:type="spellStart"/>
      <w:r w:rsidRPr="00320997">
        <w:rPr>
          <w:rFonts w:eastAsia="Times New Roman" w:cstheme="minorHAnsi"/>
          <w:sz w:val="24"/>
        </w:rPr>
        <w:t>Tizoc</w:t>
      </w:r>
      <w:proofErr w:type="spellEnd"/>
      <w:r w:rsidRPr="00320997">
        <w:rPr>
          <w:rFonts w:eastAsia="Times New Roman" w:cstheme="minorHAnsi"/>
          <w:sz w:val="24"/>
        </w:rPr>
        <w:t xml:space="preserve"> E, Villarreal-Careaga J, Murillo-</w:t>
      </w:r>
      <w:proofErr w:type="spellStart"/>
      <w:r w:rsidRPr="00320997">
        <w:rPr>
          <w:rFonts w:eastAsia="Times New Roman" w:cstheme="minorHAnsi"/>
          <w:sz w:val="24"/>
        </w:rPr>
        <w:t>Llanes</w:t>
      </w:r>
      <w:proofErr w:type="spellEnd"/>
      <w:r w:rsidRPr="00320997">
        <w:rPr>
          <w:rFonts w:eastAsia="Times New Roman" w:cstheme="minorHAnsi"/>
          <w:sz w:val="24"/>
        </w:rPr>
        <w:t xml:space="preserve"> J, Publio- Hernández M. Péptido Cerebral </w:t>
      </w:r>
      <w:proofErr w:type="spellStart"/>
      <w:r w:rsidRPr="00320997">
        <w:rPr>
          <w:rFonts w:eastAsia="Times New Roman" w:cstheme="minorHAnsi"/>
          <w:sz w:val="24"/>
        </w:rPr>
        <w:t>Natriurético.Valor</w:t>
      </w:r>
      <w:proofErr w:type="spellEnd"/>
      <w:r w:rsidRPr="00320997">
        <w:rPr>
          <w:rFonts w:eastAsia="Times New Roman" w:cstheme="minorHAnsi"/>
          <w:sz w:val="24"/>
        </w:rPr>
        <w:t xml:space="preserve"> Diagnóstico en la Insuficiencia Cardiaca </w:t>
      </w:r>
      <w:proofErr w:type="spellStart"/>
      <w:r w:rsidRPr="00320997">
        <w:rPr>
          <w:rFonts w:eastAsia="Times New Roman" w:cstheme="minorHAnsi"/>
          <w:sz w:val="24"/>
        </w:rPr>
        <w:t>Arch</w:t>
      </w:r>
      <w:proofErr w:type="spellEnd"/>
      <w:r w:rsidRPr="00320997">
        <w:rPr>
          <w:rFonts w:eastAsia="Times New Roman" w:cstheme="minorHAnsi"/>
          <w:sz w:val="24"/>
        </w:rPr>
        <w:t xml:space="preserve"> Salud Sin. 2012;6(4):103-7, Disponible en: www.hgculiacan.com</w:t>
      </w:r>
    </w:p>
    <w:p w:rsidR="00E131C8" w:rsidRPr="00320997" w:rsidRDefault="00E131C8" w:rsidP="00E131C8">
      <w:pPr>
        <w:numPr>
          <w:ilvl w:val="0"/>
          <w:numId w:val="6"/>
        </w:numPr>
        <w:tabs>
          <w:tab w:val="clear" w:pos="1065"/>
          <w:tab w:val="num" w:pos="709"/>
        </w:tabs>
        <w:spacing w:before="240" w:after="0" w:line="360" w:lineRule="auto"/>
        <w:ind w:left="709" w:hanging="703"/>
        <w:jc w:val="both"/>
        <w:rPr>
          <w:rFonts w:eastAsia="Times New Roman" w:cstheme="minorHAnsi"/>
          <w:sz w:val="24"/>
        </w:rPr>
      </w:pPr>
      <w:proofErr w:type="spellStart"/>
      <w:r w:rsidRPr="00320997">
        <w:rPr>
          <w:rFonts w:eastAsia="Times New Roman" w:cstheme="minorHAnsi"/>
          <w:sz w:val="24"/>
        </w:rPr>
        <w:t>Saldariaga</w:t>
      </w:r>
      <w:proofErr w:type="spellEnd"/>
      <w:r w:rsidRPr="00320997">
        <w:rPr>
          <w:rFonts w:eastAsia="Times New Roman" w:cstheme="minorHAnsi"/>
          <w:sz w:val="24"/>
        </w:rPr>
        <w:t xml:space="preserve"> Giraldo C, Jiménez Gómez CA, </w:t>
      </w:r>
      <w:proofErr w:type="spellStart"/>
      <w:r w:rsidRPr="00320997">
        <w:rPr>
          <w:rFonts w:eastAsia="Times New Roman" w:cstheme="minorHAnsi"/>
          <w:sz w:val="24"/>
        </w:rPr>
        <w:t>Ramirez</w:t>
      </w:r>
      <w:proofErr w:type="spellEnd"/>
      <w:r w:rsidRPr="00320997">
        <w:rPr>
          <w:rFonts w:eastAsia="Times New Roman" w:cstheme="minorHAnsi"/>
          <w:sz w:val="24"/>
        </w:rPr>
        <w:t xml:space="preserve"> Barreras JD, Cardona Gómez MC. Péptido Natriurético Cerebral: Utilidad clínica. Medicina y </w:t>
      </w:r>
      <w:proofErr w:type="gramStart"/>
      <w:r w:rsidRPr="00320997">
        <w:rPr>
          <w:rFonts w:eastAsia="Times New Roman" w:cstheme="minorHAnsi"/>
          <w:sz w:val="24"/>
        </w:rPr>
        <w:lastRenderedPageBreak/>
        <w:t>Laboratorio[</w:t>
      </w:r>
      <w:proofErr w:type="gramEnd"/>
      <w:r w:rsidRPr="00320997">
        <w:rPr>
          <w:rFonts w:eastAsia="Times New Roman" w:cstheme="minorHAnsi"/>
          <w:sz w:val="24"/>
        </w:rPr>
        <w:t xml:space="preserve">Internet].2011[citado 22 </w:t>
      </w:r>
      <w:proofErr w:type="spellStart"/>
      <w:r w:rsidRPr="00320997">
        <w:rPr>
          <w:rFonts w:eastAsia="Times New Roman" w:cstheme="minorHAnsi"/>
          <w:sz w:val="24"/>
        </w:rPr>
        <w:t>nov</w:t>
      </w:r>
      <w:proofErr w:type="spellEnd"/>
      <w:r w:rsidRPr="00320997">
        <w:rPr>
          <w:rFonts w:eastAsia="Times New Roman" w:cstheme="minorHAnsi"/>
          <w:sz w:val="24"/>
        </w:rPr>
        <w:t xml:space="preserve"> 2019];127-44. Disponible en: https://www.medigraphic.com/pdfs/medlab/myl-2011/myl113-4c.pdf</w:t>
      </w:r>
    </w:p>
    <w:p w:rsidR="00E131C8" w:rsidRPr="00320997" w:rsidRDefault="00E131C8" w:rsidP="00320997">
      <w:pPr>
        <w:numPr>
          <w:ilvl w:val="0"/>
          <w:numId w:val="6"/>
        </w:numPr>
        <w:tabs>
          <w:tab w:val="clear" w:pos="1065"/>
          <w:tab w:val="num" w:pos="709"/>
        </w:tabs>
        <w:spacing w:before="240" w:after="0" w:line="360" w:lineRule="auto"/>
        <w:ind w:left="709" w:hanging="703"/>
        <w:jc w:val="both"/>
        <w:rPr>
          <w:rFonts w:eastAsia="Times New Roman" w:cstheme="minorHAnsi"/>
          <w:sz w:val="24"/>
        </w:rPr>
      </w:pPr>
      <w:r w:rsidRPr="00320997">
        <w:rPr>
          <w:rFonts w:eastAsia="Times New Roman" w:cstheme="minorHAnsi"/>
          <w:sz w:val="24"/>
        </w:rPr>
        <w:t xml:space="preserve">Almenar Bonet </w:t>
      </w:r>
      <w:proofErr w:type="spellStart"/>
      <w:r w:rsidRPr="00320997">
        <w:rPr>
          <w:rFonts w:eastAsia="Times New Roman" w:cstheme="minorHAnsi"/>
          <w:sz w:val="24"/>
        </w:rPr>
        <w:t>L,MartinezDolz</w:t>
      </w:r>
      <w:proofErr w:type="spellEnd"/>
      <w:r w:rsidRPr="00320997">
        <w:rPr>
          <w:rFonts w:eastAsia="Times New Roman" w:cstheme="minorHAnsi"/>
          <w:sz w:val="24"/>
        </w:rPr>
        <w:t xml:space="preserve"> L. </w:t>
      </w:r>
      <w:proofErr w:type="spellStart"/>
      <w:r w:rsidRPr="00320997">
        <w:rPr>
          <w:rFonts w:eastAsia="Times New Roman" w:cstheme="minorHAnsi"/>
          <w:sz w:val="24"/>
        </w:rPr>
        <w:t>Peptidosnatriureticos</w:t>
      </w:r>
      <w:proofErr w:type="spellEnd"/>
      <w:r w:rsidRPr="00320997">
        <w:rPr>
          <w:rFonts w:eastAsia="Times New Roman" w:cstheme="minorHAnsi"/>
          <w:sz w:val="24"/>
        </w:rPr>
        <w:t xml:space="preserve"> en insuficiencia </w:t>
      </w:r>
      <w:proofErr w:type="spellStart"/>
      <w:r w:rsidRPr="00320997">
        <w:rPr>
          <w:rFonts w:eastAsia="Times New Roman" w:cstheme="minorHAnsi"/>
          <w:sz w:val="24"/>
        </w:rPr>
        <w:t>cardiaca.RevEspCardiol</w:t>
      </w:r>
      <w:proofErr w:type="spellEnd"/>
      <w:r w:rsidRPr="00320997">
        <w:rPr>
          <w:rFonts w:eastAsia="Times New Roman" w:cstheme="minorHAnsi"/>
          <w:sz w:val="24"/>
        </w:rPr>
        <w:t xml:space="preserve"> Supl.2006;6:15F-26F.Disponible en: https://www.revespcardiol.org/es-pdf-S1131358706748312</w:t>
      </w:r>
    </w:p>
    <w:p w:rsidR="00E131C8" w:rsidRPr="00320997" w:rsidRDefault="00E131C8" w:rsidP="0071175C">
      <w:pPr>
        <w:jc w:val="both"/>
        <w:rPr>
          <w:rFonts w:cstheme="minorHAnsi"/>
          <w:sz w:val="24"/>
        </w:rPr>
      </w:pPr>
    </w:p>
    <w:sectPr w:rsidR="00E131C8" w:rsidRPr="00320997" w:rsidSect="0071175C">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3">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3CC84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6"/>
    <w:multiLevelType w:val="hybridMultilevel"/>
    <w:tmpl w:val="00D2D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9"/>
    <w:multiLevelType w:val="hybridMultilevel"/>
    <w:tmpl w:val="1A207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D"/>
    <w:multiLevelType w:val="hybridMultilevel"/>
    <w:tmpl w:val="B16C0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000011"/>
    <w:multiLevelType w:val="hybridMultilevel"/>
    <w:tmpl w:val="5D4E1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8D6FCF"/>
    <w:multiLevelType w:val="hybridMultilevel"/>
    <w:tmpl w:val="2B861736"/>
    <w:lvl w:ilvl="0" w:tplc="CD640CE0">
      <w:start w:val="1"/>
      <w:numFmt w:val="decimal"/>
      <w:lvlText w:val="%1."/>
      <w:lvlJc w:val="left"/>
      <w:pPr>
        <w:tabs>
          <w:tab w:val="num" w:pos="1065"/>
        </w:tabs>
        <w:ind w:left="1065" w:hanging="70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71175C"/>
    <w:rsid w:val="00187ECD"/>
    <w:rsid w:val="00320997"/>
    <w:rsid w:val="005C5B33"/>
    <w:rsid w:val="0071175C"/>
    <w:rsid w:val="00E03F6B"/>
    <w:rsid w:val="00E131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E131C8"/>
    <w:rPr>
      <w:color w:val="0563C1"/>
      <w:u w:val="single"/>
    </w:rPr>
  </w:style>
  <w:style w:type="character" w:customStyle="1" w:styleId="orcid-id-https">
    <w:name w:val="orcid-id-https"/>
    <w:basedOn w:val="Fuentedeprrafopredeter"/>
    <w:rsid w:val="00E131C8"/>
  </w:style>
  <w:style w:type="paragraph" w:styleId="Prrafodelista">
    <w:name w:val="List Paragraph"/>
    <w:basedOn w:val="Normal"/>
    <w:uiPriority w:val="34"/>
    <w:qFormat/>
    <w:rsid w:val="00E131C8"/>
    <w:pPr>
      <w:ind w:left="720"/>
      <w:contextualSpacing/>
    </w:pPr>
    <w:rPr>
      <w:rFonts w:ascii="Calibri" w:eastAsia="SimSun" w:hAnsi="Calibri" w:cs="SimSun"/>
    </w:rPr>
  </w:style>
  <w:style w:type="table" w:styleId="Tablaconcuadrcula">
    <w:name w:val="Table Grid"/>
    <w:basedOn w:val="Tablanormal"/>
    <w:uiPriority w:val="59"/>
    <w:rsid w:val="00E131C8"/>
    <w:pPr>
      <w:spacing w:after="0" w:line="240" w:lineRule="auto"/>
    </w:pPr>
    <w:rPr>
      <w:rFonts w:ascii="Calibri" w:eastAsia="SimSun"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E131C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E131C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rsid w:val="00E131C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131C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jlqj4b">
    <w:name w:val="jlqj4b"/>
    <w:basedOn w:val="Fuentedeprrafopredeter"/>
    <w:rsid w:val="00E131C8"/>
  </w:style>
  <w:style w:type="paragraph" w:styleId="Textoindependiente">
    <w:name w:val="Body Text"/>
    <w:basedOn w:val="Normal"/>
    <w:link w:val="TextoindependienteCar"/>
    <w:rsid w:val="00E131C8"/>
    <w:pPr>
      <w:spacing w:after="0" w:line="240" w:lineRule="auto"/>
      <w:jc w:val="both"/>
    </w:pPr>
    <w:rPr>
      <w:rFonts w:ascii="Courier New" w:eastAsia="Calibri" w:hAnsi="Courier New" w:cs="Times New Roman"/>
      <w:sz w:val="24"/>
      <w:lang w:eastAsia="en-US"/>
    </w:rPr>
  </w:style>
  <w:style w:type="character" w:customStyle="1" w:styleId="TextoindependienteCar">
    <w:name w:val="Texto independiente Car"/>
    <w:basedOn w:val="Fuentedeprrafopredeter"/>
    <w:link w:val="Textoindependiente"/>
    <w:rsid w:val="00E131C8"/>
    <w:rPr>
      <w:rFonts w:ascii="Courier New" w:eastAsia="Calibri" w:hAnsi="Courier New" w:cs="Times New Roman"/>
      <w:sz w:val="24"/>
      <w:lang w:eastAsia="en-US"/>
    </w:rPr>
  </w:style>
  <w:style w:type="paragraph" w:styleId="Textodeglobo">
    <w:name w:val="Balloon Text"/>
    <w:basedOn w:val="Normal"/>
    <w:link w:val="TextodegloboCar"/>
    <w:uiPriority w:val="99"/>
    <w:semiHidden/>
    <w:unhideWhenUsed/>
    <w:rsid w:val="00E13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3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uficienciacardiaca.org/pdf/v10n1_15/v10n1a06.pdf" TargetMode="External"/><Relationship Id="rId5" Type="http://schemas.openxmlformats.org/officeDocument/2006/relationships/hyperlink" Target="mailto:alexiarmando.soubl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4734</Words>
  <Characters>26040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30713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 Armando</dc:creator>
  <cp:keywords/>
  <dc:description/>
  <cp:lastModifiedBy>Alexi Armando</cp:lastModifiedBy>
  <cp:revision>6</cp:revision>
  <dcterms:created xsi:type="dcterms:W3CDTF">2023-07-10T00:26:00Z</dcterms:created>
  <dcterms:modified xsi:type="dcterms:W3CDTF">2023-07-10T00:47:00Z</dcterms:modified>
</cp:coreProperties>
</file>