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451" w:rsidRPr="004B0E95" w:rsidRDefault="00222451" w:rsidP="00222451">
      <w:pPr>
        <w:pStyle w:val="Prrafodelista"/>
        <w:spacing w:line="360" w:lineRule="auto"/>
        <w:jc w:val="both"/>
        <w:rPr>
          <w:rFonts w:ascii="Arial" w:hAnsi="Arial" w:cs="Arial"/>
          <w:sz w:val="24"/>
          <w:szCs w:val="24"/>
        </w:rPr>
      </w:pPr>
      <w:r w:rsidRPr="004B0E95">
        <w:rPr>
          <w:rFonts w:ascii="Arial" w:hAnsi="Arial" w:cs="Arial"/>
          <w:noProof/>
          <w:sz w:val="24"/>
          <w:szCs w:val="24"/>
          <w:lang w:val="es-ES" w:eastAsia="es-ES"/>
        </w:rPr>
        <w:drawing>
          <wp:anchor distT="36195" distB="36195" distL="55245" distR="36195" simplePos="0" relativeHeight="251659264" behindDoc="0" locked="0" layoutInCell="1" allowOverlap="1">
            <wp:simplePos x="0" y="0"/>
            <wp:positionH relativeFrom="margin">
              <wp:align>center</wp:align>
            </wp:positionH>
            <wp:positionV relativeFrom="paragraph">
              <wp:posOffset>-617413</wp:posOffset>
            </wp:positionV>
            <wp:extent cx="1340485" cy="12439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1340485" cy="1243965"/>
                    </a:xfrm>
                    <a:prstGeom prst="rect">
                      <a:avLst/>
                    </a:prstGeom>
                  </pic:spPr>
                </pic:pic>
              </a:graphicData>
            </a:graphic>
          </wp:anchor>
        </w:drawing>
      </w:r>
    </w:p>
    <w:p w:rsidR="00222451" w:rsidRPr="004B0E95" w:rsidRDefault="00222451" w:rsidP="00222451">
      <w:pPr>
        <w:spacing w:line="360" w:lineRule="auto"/>
        <w:jc w:val="both"/>
        <w:rPr>
          <w:rFonts w:ascii="Arial" w:hAnsi="Arial" w:cs="Arial"/>
          <w:sz w:val="24"/>
          <w:szCs w:val="24"/>
        </w:rPr>
      </w:pPr>
    </w:p>
    <w:p w:rsidR="00222451" w:rsidRPr="004B0E95" w:rsidRDefault="00222451" w:rsidP="00222451">
      <w:pPr>
        <w:spacing w:line="240" w:lineRule="auto"/>
        <w:jc w:val="center"/>
        <w:rPr>
          <w:rFonts w:ascii="Arial" w:hAnsi="Arial" w:cs="Arial"/>
          <w:b/>
          <w:sz w:val="24"/>
          <w:szCs w:val="24"/>
        </w:rPr>
      </w:pPr>
      <w:r w:rsidRPr="004B0E95">
        <w:rPr>
          <w:rFonts w:ascii="Arial" w:hAnsi="Arial" w:cs="Arial"/>
          <w:b/>
          <w:sz w:val="24"/>
          <w:szCs w:val="24"/>
        </w:rPr>
        <w:t>UNIVERSIDAD DE CIENCIAS MÉDICAS DE PINAR DEL RÍO</w:t>
      </w:r>
    </w:p>
    <w:p w:rsidR="00222451" w:rsidRPr="004B0E95" w:rsidRDefault="00222451" w:rsidP="00222451">
      <w:pPr>
        <w:spacing w:line="240" w:lineRule="auto"/>
        <w:jc w:val="center"/>
        <w:rPr>
          <w:rFonts w:ascii="Arial" w:hAnsi="Arial" w:cs="Arial"/>
          <w:b/>
          <w:sz w:val="24"/>
          <w:szCs w:val="24"/>
        </w:rPr>
      </w:pPr>
      <w:r w:rsidRPr="004B0E95">
        <w:rPr>
          <w:rFonts w:ascii="Arial" w:hAnsi="Arial" w:cs="Arial"/>
          <w:b/>
          <w:sz w:val="24"/>
          <w:szCs w:val="24"/>
        </w:rPr>
        <w:t>FACULTAD DE CIENCIAS MÉDICAS</w:t>
      </w:r>
    </w:p>
    <w:p w:rsidR="00222451" w:rsidRDefault="00222451" w:rsidP="00222451">
      <w:pPr>
        <w:spacing w:line="240" w:lineRule="auto"/>
        <w:jc w:val="center"/>
        <w:rPr>
          <w:rFonts w:ascii="Arial" w:hAnsi="Arial" w:cs="Arial"/>
          <w:b/>
          <w:sz w:val="24"/>
          <w:szCs w:val="24"/>
        </w:rPr>
      </w:pPr>
      <w:r w:rsidRPr="004B0E95">
        <w:rPr>
          <w:rFonts w:ascii="Arial" w:hAnsi="Arial" w:cs="Arial"/>
          <w:b/>
          <w:sz w:val="24"/>
          <w:szCs w:val="24"/>
        </w:rPr>
        <w:t>Dr. Ernesto Guevara de la Serna</w:t>
      </w:r>
    </w:p>
    <w:p w:rsidR="00222451" w:rsidRPr="004B0E95" w:rsidRDefault="00222451" w:rsidP="00222451">
      <w:pPr>
        <w:spacing w:line="240" w:lineRule="auto"/>
        <w:jc w:val="center"/>
        <w:rPr>
          <w:rFonts w:ascii="Arial" w:hAnsi="Arial" w:cs="Arial"/>
          <w:b/>
          <w:sz w:val="24"/>
          <w:szCs w:val="24"/>
        </w:rPr>
      </w:pPr>
    </w:p>
    <w:p w:rsidR="00222451" w:rsidRPr="004B0E95" w:rsidRDefault="00222451" w:rsidP="00222451">
      <w:pPr>
        <w:spacing w:line="360" w:lineRule="auto"/>
        <w:jc w:val="both"/>
        <w:rPr>
          <w:rFonts w:ascii="Arial" w:hAnsi="Arial" w:cs="Arial"/>
          <w:b/>
          <w:sz w:val="24"/>
          <w:szCs w:val="24"/>
        </w:rPr>
      </w:pPr>
    </w:p>
    <w:p w:rsidR="00222451" w:rsidRPr="00A65C1C" w:rsidRDefault="00222451" w:rsidP="00222451">
      <w:pPr>
        <w:tabs>
          <w:tab w:val="left" w:pos="6820"/>
        </w:tabs>
        <w:spacing w:line="360" w:lineRule="auto"/>
        <w:jc w:val="both"/>
        <w:rPr>
          <w:rFonts w:ascii="Arial" w:eastAsia="Arial Unicode MS" w:hAnsi="Arial" w:cs="Arial"/>
          <w:b/>
          <w:i/>
          <w:sz w:val="40"/>
          <w:szCs w:val="40"/>
          <w:lang w:eastAsia="es-ES"/>
        </w:rPr>
      </w:pPr>
      <w:r w:rsidRPr="00A65C1C">
        <w:rPr>
          <w:rFonts w:ascii="Arial" w:eastAsia="Arial Unicode MS" w:hAnsi="Arial" w:cs="Arial"/>
          <w:b/>
          <w:i/>
          <w:sz w:val="40"/>
          <w:szCs w:val="40"/>
          <w:lang w:eastAsia="es-ES"/>
        </w:rPr>
        <w:t>T</w:t>
      </w:r>
      <w:r w:rsidR="003E2241">
        <w:rPr>
          <w:rFonts w:ascii="Arial" w:eastAsia="Arial Unicode MS" w:hAnsi="Arial" w:cs="Arial"/>
          <w:b/>
          <w:i/>
          <w:sz w:val="40"/>
          <w:szCs w:val="40"/>
          <w:lang w:eastAsia="es-ES"/>
        </w:rPr>
        <w:t>erapia</w:t>
      </w:r>
      <w:r w:rsidR="00571FE1">
        <w:rPr>
          <w:rFonts w:ascii="Arial" w:eastAsia="Arial Unicode MS" w:hAnsi="Arial" w:cs="Arial"/>
          <w:b/>
          <w:i/>
          <w:sz w:val="40"/>
          <w:szCs w:val="40"/>
          <w:lang w:eastAsia="es-ES"/>
        </w:rPr>
        <w:t xml:space="preserve"> </w:t>
      </w:r>
      <w:r w:rsidR="003E2241">
        <w:rPr>
          <w:rFonts w:ascii="Arial" w:eastAsia="Arial Unicode MS" w:hAnsi="Arial" w:cs="Arial"/>
          <w:b/>
          <w:i/>
          <w:sz w:val="40"/>
          <w:szCs w:val="40"/>
          <w:lang w:eastAsia="es-ES"/>
        </w:rPr>
        <w:t>Nutricional en el paciente grave</w:t>
      </w:r>
    </w:p>
    <w:p w:rsidR="00222451" w:rsidRDefault="00222451" w:rsidP="00222451">
      <w:pPr>
        <w:suppressAutoHyphens/>
        <w:spacing w:line="360" w:lineRule="auto"/>
        <w:jc w:val="both"/>
        <w:rPr>
          <w:rFonts w:ascii="Arial" w:eastAsia="Times New Roman" w:hAnsi="Arial" w:cs="Arial"/>
          <w:sz w:val="24"/>
          <w:szCs w:val="24"/>
          <w:lang w:eastAsia="es-ES"/>
        </w:rPr>
      </w:pPr>
    </w:p>
    <w:p w:rsidR="00222451" w:rsidRPr="004B0E95" w:rsidRDefault="00222451" w:rsidP="00222451">
      <w:pPr>
        <w:suppressAutoHyphens/>
        <w:spacing w:line="360" w:lineRule="auto"/>
        <w:jc w:val="both"/>
        <w:rPr>
          <w:rFonts w:ascii="Arial" w:eastAsia="Times New Roman" w:hAnsi="Arial" w:cs="Arial"/>
          <w:sz w:val="24"/>
          <w:szCs w:val="24"/>
          <w:lang w:eastAsia="es-ES"/>
        </w:rPr>
      </w:pPr>
      <w:bookmarkStart w:id="0" w:name="_GoBack"/>
      <w:bookmarkEnd w:id="0"/>
    </w:p>
    <w:p w:rsidR="00222451" w:rsidRPr="004B0E95" w:rsidRDefault="00222451" w:rsidP="00222451">
      <w:pPr>
        <w:tabs>
          <w:tab w:val="left" w:pos="2295"/>
        </w:tabs>
        <w:spacing w:before="100" w:after="100"/>
        <w:jc w:val="both"/>
        <w:rPr>
          <w:rFonts w:ascii="Arial" w:eastAsia="Times New Roman" w:hAnsi="Arial" w:cs="Arial"/>
          <w:sz w:val="24"/>
          <w:szCs w:val="24"/>
          <w:lang w:eastAsia="es-ES"/>
        </w:rPr>
      </w:pPr>
      <w:r w:rsidRPr="004B0E95">
        <w:rPr>
          <w:rFonts w:ascii="Arial" w:eastAsia="Times New Roman" w:hAnsi="Arial" w:cs="Arial"/>
          <w:sz w:val="24"/>
          <w:szCs w:val="24"/>
          <w:lang w:eastAsia="es-ES"/>
        </w:rPr>
        <w:t>Autor</w:t>
      </w:r>
      <w:r>
        <w:rPr>
          <w:rFonts w:ascii="Arial" w:eastAsia="Times New Roman" w:hAnsi="Arial" w:cs="Arial"/>
          <w:sz w:val="24"/>
          <w:szCs w:val="24"/>
          <w:lang w:eastAsia="es-ES"/>
        </w:rPr>
        <w:t>es</w:t>
      </w:r>
      <w:r w:rsidRPr="004B0E95">
        <w:rPr>
          <w:rFonts w:ascii="Arial" w:eastAsia="Times New Roman" w:hAnsi="Arial" w:cs="Arial"/>
          <w:sz w:val="24"/>
          <w:szCs w:val="24"/>
          <w:lang w:eastAsia="es-ES"/>
        </w:rPr>
        <w:t>:</w:t>
      </w:r>
    </w:p>
    <w:p w:rsidR="00222451" w:rsidRDefault="00222451" w:rsidP="00222451">
      <w:pPr>
        <w:tabs>
          <w:tab w:val="left" w:pos="2295"/>
        </w:tabs>
        <w:spacing w:before="100" w:after="100"/>
        <w:jc w:val="both"/>
        <w:rPr>
          <w:rFonts w:ascii="Arial" w:eastAsia="Times New Roman" w:hAnsi="Arial" w:cs="Arial"/>
          <w:sz w:val="24"/>
          <w:szCs w:val="24"/>
          <w:lang w:eastAsia="es-ES"/>
        </w:rPr>
      </w:pPr>
      <w:r w:rsidRPr="004B0E95">
        <w:rPr>
          <w:rFonts w:ascii="Arial" w:eastAsia="Times New Roman" w:hAnsi="Arial" w:cs="Arial"/>
          <w:sz w:val="24"/>
          <w:szCs w:val="24"/>
          <w:lang w:eastAsia="es-ES"/>
        </w:rPr>
        <w:t>Osvany Felipe Braña</w:t>
      </w:r>
      <w:r>
        <w:rPr>
          <w:rFonts w:ascii="Arial" w:eastAsia="Times New Roman" w:hAnsi="Arial" w:cs="Arial"/>
          <w:sz w:val="24"/>
          <w:szCs w:val="24"/>
          <w:lang w:eastAsia="es-ES"/>
        </w:rPr>
        <w:t>*</w:t>
      </w:r>
    </w:p>
    <w:p w:rsidR="00222451" w:rsidRPr="00870684" w:rsidRDefault="00222451" w:rsidP="00222451">
      <w:pPr>
        <w:tabs>
          <w:tab w:val="left" w:pos="2295"/>
        </w:tabs>
        <w:spacing w:before="100" w:after="10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Lizt Mesa Rodriguez </w:t>
      </w:r>
      <w:r w:rsidRPr="004B0E95">
        <w:rPr>
          <w:rFonts w:ascii="Arial" w:eastAsia="Times New Roman" w:hAnsi="Arial" w:cs="Arial"/>
          <w:sz w:val="24"/>
          <w:szCs w:val="24"/>
          <w:lang w:eastAsia="es-ES"/>
        </w:rPr>
        <w:t>**</w:t>
      </w:r>
    </w:p>
    <w:p w:rsidR="00222451" w:rsidRPr="004B0E95" w:rsidRDefault="00222451" w:rsidP="00222451">
      <w:pPr>
        <w:tabs>
          <w:tab w:val="left" w:pos="2295"/>
        </w:tabs>
        <w:spacing w:before="100" w:after="100"/>
        <w:jc w:val="both"/>
        <w:rPr>
          <w:rFonts w:ascii="Arial" w:eastAsia="Times New Roman" w:hAnsi="Arial" w:cs="Arial"/>
          <w:sz w:val="24"/>
          <w:szCs w:val="24"/>
          <w:lang w:eastAsia="es-ES"/>
        </w:rPr>
      </w:pPr>
    </w:p>
    <w:p w:rsidR="00222451" w:rsidRPr="004B0E95" w:rsidRDefault="00222451" w:rsidP="00222451">
      <w:pPr>
        <w:tabs>
          <w:tab w:val="left" w:pos="2295"/>
        </w:tabs>
        <w:spacing w:before="100" w:after="100"/>
        <w:jc w:val="both"/>
        <w:rPr>
          <w:rFonts w:ascii="Arial" w:eastAsia="Times New Roman" w:hAnsi="Arial" w:cs="Arial"/>
          <w:sz w:val="24"/>
          <w:szCs w:val="24"/>
          <w:lang w:eastAsia="es-ES"/>
        </w:rPr>
      </w:pPr>
      <w:r>
        <w:rPr>
          <w:rFonts w:ascii="Arial" w:eastAsia="Times New Roman" w:hAnsi="Arial" w:cs="Arial"/>
          <w:sz w:val="24"/>
          <w:szCs w:val="24"/>
          <w:lang w:eastAsia="es-ES"/>
        </w:rPr>
        <w:t>Tutor</w:t>
      </w:r>
      <w:r w:rsidRPr="004B0E95">
        <w:rPr>
          <w:rFonts w:ascii="Arial" w:eastAsia="Times New Roman" w:hAnsi="Arial" w:cs="Arial"/>
          <w:sz w:val="24"/>
          <w:szCs w:val="24"/>
          <w:lang w:eastAsia="es-ES"/>
        </w:rPr>
        <w:t xml:space="preserve">: </w:t>
      </w:r>
    </w:p>
    <w:p w:rsidR="00222451" w:rsidRDefault="00222451" w:rsidP="00222451">
      <w:pPr>
        <w:tabs>
          <w:tab w:val="left" w:pos="2295"/>
        </w:tabs>
        <w:spacing w:before="100" w:after="100"/>
        <w:jc w:val="both"/>
        <w:rPr>
          <w:rFonts w:ascii="Arial" w:eastAsia="Times New Roman" w:hAnsi="Arial" w:cs="Arial"/>
          <w:sz w:val="24"/>
          <w:szCs w:val="24"/>
          <w:lang w:eastAsia="es-ES"/>
        </w:rPr>
      </w:pPr>
      <w:r>
        <w:rPr>
          <w:rFonts w:ascii="Arial" w:eastAsia="Times New Roman" w:hAnsi="Arial" w:cs="Arial"/>
          <w:sz w:val="24"/>
          <w:szCs w:val="24"/>
          <w:lang w:eastAsia="es-ES"/>
        </w:rPr>
        <w:t>Dr. Abel TrujilloLedezma *</w:t>
      </w:r>
      <w:r w:rsidRPr="004B0E95">
        <w:rPr>
          <w:rFonts w:ascii="Arial" w:eastAsia="Times New Roman" w:hAnsi="Arial" w:cs="Arial"/>
          <w:sz w:val="24"/>
          <w:szCs w:val="24"/>
          <w:lang w:eastAsia="es-ES"/>
        </w:rPr>
        <w:t>**</w:t>
      </w:r>
    </w:p>
    <w:p w:rsidR="00222451" w:rsidRPr="004B0E95" w:rsidRDefault="00222451" w:rsidP="00222451">
      <w:pPr>
        <w:tabs>
          <w:tab w:val="left" w:pos="2295"/>
        </w:tabs>
        <w:spacing w:before="100" w:after="100"/>
        <w:jc w:val="both"/>
        <w:rPr>
          <w:rFonts w:ascii="Arial" w:eastAsia="Times New Roman" w:hAnsi="Arial" w:cs="Arial"/>
          <w:sz w:val="24"/>
          <w:szCs w:val="24"/>
          <w:lang w:eastAsia="es-ES"/>
        </w:rPr>
      </w:pPr>
    </w:p>
    <w:p w:rsidR="00222451" w:rsidRDefault="00222451" w:rsidP="00222451">
      <w:pPr>
        <w:tabs>
          <w:tab w:val="left" w:pos="2295"/>
        </w:tabs>
        <w:spacing w:before="100" w:after="100"/>
        <w:jc w:val="both"/>
        <w:rPr>
          <w:rFonts w:ascii="Arial" w:eastAsia="Times New Roman" w:hAnsi="Arial" w:cs="Arial"/>
          <w:sz w:val="24"/>
          <w:szCs w:val="24"/>
          <w:lang w:eastAsia="es-ES"/>
        </w:rPr>
      </w:pPr>
      <w:r>
        <w:rPr>
          <w:rFonts w:ascii="Arial" w:eastAsia="Times New Roman" w:hAnsi="Arial" w:cs="Arial"/>
          <w:sz w:val="24"/>
          <w:szCs w:val="24"/>
          <w:lang w:eastAsia="es-ES"/>
        </w:rPr>
        <w:t>*</w:t>
      </w:r>
      <w:r w:rsidRPr="004B0E95">
        <w:rPr>
          <w:rFonts w:ascii="Arial" w:eastAsia="Times New Roman" w:hAnsi="Arial" w:cs="Arial"/>
          <w:sz w:val="24"/>
          <w:szCs w:val="24"/>
          <w:lang w:eastAsia="es-ES"/>
        </w:rPr>
        <w:t xml:space="preserve">Estudiante de </w:t>
      </w:r>
      <w:r>
        <w:rPr>
          <w:rFonts w:ascii="Arial" w:eastAsia="Times New Roman" w:hAnsi="Arial" w:cs="Arial"/>
          <w:sz w:val="24"/>
          <w:szCs w:val="24"/>
          <w:lang w:eastAsia="es-ES"/>
        </w:rPr>
        <w:t>segundo</w:t>
      </w:r>
      <w:r w:rsidRPr="004B0E95">
        <w:rPr>
          <w:rFonts w:ascii="Arial" w:eastAsia="Times New Roman" w:hAnsi="Arial" w:cs="Arial"/>
          <w:sz w:val="24"/>
          <w:szCs w:val="24"/>
          <w:lang w:eastAsia="es-ES"/>
        </w:rPr>
        <w:t>año de la carrera de medicina.</w:t>
      </w:r>
      <w:r>
        <w:rPr>
          <w:rFonts w:ascii="Arial" w:eastAsia="Times New Roman" w:hAnsi="Arial" w:cs="Arial"/>
          <w:sz w:val="24"/>
          <w:szCs w:val="24"/>
          <w:lang w:eastAsia="es-ES"/>
        </w:rPr>
        <w:t xml:space="preserve">Alumnoayudante en </w:t>
      </w:r>
      <w:r w:rsidRPr="004B0E95">
        <w:rPr>
          <w:rFonts w:ascii="Arial" w:eastAsia="Times New Roman" w:hAnsi="Arial" w:cs="Arial"/>
          <w:sz w:val="24"/>
          <w:szCs w:val="24"/>
          <w:lang w:eastAsia="es-ES"/>
        </w:rPr>
        <w:t>Medicina</w:t>
      </w:r>
      <w:r>
        <w:rPr>
          <w:rFonts w:ascii="Arial" w:eastAsia="Times New Roman" w:hAnsi="Arial" w:cs="Arial"/>
          <w:sz w:val="24"/>
          <w:szCs w:val="24"/>
          <w:lang w:eastAsia="es-ES"/>
        </w:rPr>
        <w:t>Intensiva y Emergencias.</w:t>
      </w:r>
    </w:p>
    <w:p w:rsidR="00222451" w:rsidRPr="00870684" w:rsidRDefault="00222451" w:rsidP="00222451">
      <w:pPr>
        <w:tabs>
          <w:tab w:val="left" w:pos="2295"/>
        </w:tabs>
        <w:spacing w:before="100" w:after="100"/>
        <w:jc w:val="both"/>
        <w:rPr>
          <w:rFonts w:ascii="Arial" w:eastAsia="Times New Roman" w:hAnsi="Arial" w:cs="Arial"/>
          <w:sz w:val="24"/>
          <w:szCs w:val="24"/>
          <w:lang w:eastAsia="es-ES"/>
        </w:rPr>
      </w:pPr>
      <w:r>
        <w:rPr>
          <w:rFonts w:ascii="Arial" w:eastAsia="Times New Roman" w:hAnsi="Arial" w:cs="Arial"/>
          <w:sz w:val="24"/>
          <w:szCs w:val="24"/>
          <w:lang w:eastAsia="es-ES"/>
        </w:rPr>
        <w:t>*</w:t>
      </w:r>
      <w:r w:rsidRPr="004B0E95">
        <w:rPr>
          <w:rFonts w:ascii="Arial" w:eastAsia="Times New Roman" w:hAnsi="Arial" w:cs="Arial"/>
          <w:sz w:val="24"/>
          <w:szCs w:val="24"/>
          <w:lang w:eastAsia="es-ES"/>
        </w:rPr>
        <w:t>*</w:t>
      </w:r>
      <w:r>
        <w:rPr>
          <w:rFonts w:ascii="Arial" w:eastAsia="Times New Roman" w:hAnsi="Arial" w:cs="Arial"/>
          <w:sz w:val="24"/>
          <w:szCs w:val="24"/>
          <w:lang w:eastAsia="es-ES"/>
        </w:rPr>
        <w:t>Estudiante de segundo</w:t>
      </w:r>
      <w:r w:rsidRPr="00870684">
        <w:rPr>
          <w:rFonts w:ascii="Arial" w:eastAsia="Times New Roman" w:hAnsi="Arial" w:cs="Arial"/>
          <w:sz w:val="24"/>
          <w:szCs w:val="24"/>
          <w:lang w:eastAsia="es-ES"/>
        </w:rPr>
        <w:t>año de la carrera de Medicina</w:t>
      </w:r>
      <w:r>
        <w:rPr>
          <w:rFonts w:ascii="Arial" w:eastAsia="Times New Roman" w:hAnsi="Arial" w:cs="Arial"/>
          <w:sz w:val="24"/>
          <w:szCs w:val="24"/>
          <w:lang w:eastAsia="es-ES"/>
        </w:rPr>
        <w:t xml:space="preserve">. Alumna  ayudante en Cirugía General </w:t>
      </w:r>
    </w:p>
    <w:p w:rsidR="00222451" w:rsidRPr="00870684" w:rsidRDefault="00222451" w:rsidP="00222451">
      <w:pPr>
        <w:tabs>
          <w:tab w:val="left" w:pos="2295"/>
        </w:tabs>
        <w:spacing w:before="100" w:after="100"/>
        <w:jc w:val="both"/>
        <w:rPr>
          <w:rFonts w:ascii="Arial" w:eastAsia="Times New Roman" w:hAnsi="Arial" w:cs="Arial"/>
          <w:sz w:val="24"/>
          <w:szCs w:val="24"/>
          <w:lang w:eastAsia="es-ES"/>
        </w:rPr>
      </w:pPr>
      <w:r>
        <w:rPr>
          <w:rFonts w:ascii="Arial" w:eastAsia="Times New Roman" w:hAnsi="Arial" w:cs="Arial"/>
          <w:sz w:val="24"/>
          <w:szCs w:val="24"/>
          <w:lang w:eastAsia="es-ES"/>
        </w:rPr>
        <w:t>***</w:t>
      </w:r>
      <w:r w:rsidRPr="004B0E95">
        <w:rPr>
          <w:rFonts w:ascii="Arial" w:eastAsia="Times New Roman" w:hAnsi="Arial" w:cs="Arial"/>
          <w:sz w:val="24"/>
          <w:szCs w:val="24"/>
          <w:lang w:eastAsia="es-ES"/>
        </w:rPr>
        <w:t>Especialista en primer grado de Medicina</w:t>
      </w:r>
      <w:r>
        <w:rPr>
          <w:rFonts w:ascii="Arial" w:eastAsia="Times New Roman" w:hAnsi="Arial" w:cs="Arial"/>
          <w:sz w:val="24"/>
          <w:szCs w:val="24"/>
          <w:lang w:eastAsia="es-ES"/>
        </w:rPr>
        <w:t>Intensiva y Emergencias</w:t>
      </w:r>
      <w:r w:rsidRPr="004B0E95">
        <w:rPr>
          <w:rFonts w:ascii="Arial" w:eastAsia="Times New Roman" w:hAnsi="Arial" w:cs="Arial"/>
          <w:sz w:val="24"/>
          <w:szCs w:val="24"/>
          <w:lang w:eastAsia="es-ES"/>
        </w:rPr>
        <w:t>. Profesor Instructor.</w:t>
      </w:r>
    </w:p>
    <w:p w:rsidR="00222451" w:rsidRPr="00C039DC" w:rsidRDefault="00222451" w:rsidP="00222451">
      <w:pPr>
        <w:tabs>
          <w:tab w:val="left" w:pos="2295"/>
        </w:tabs>
        <w:spacing w:before="100" w:after="100" w:line="360" w:lineRule="auto"/>
        <w:jc w:val="both"/>
        <w:rPr>
          <w:rFonts w:ascii="Arial" w:eastAsia="Times New Roman" w:hAnsi="Arial" w:cs="Arial"/>
          <w:sz w:val="24"/>
          <w:szCs w:val="24"/>
          <w:lang w:eastAsia="es-ES"/>
        </w:rPr>
      </w:pPr>
    </w:p>
    <w:p w:rsidR="00222451" w:rsidRDefault="00222451" w:rsidP="00222451">
      <w:pPr>
        <w:tabs>
          <w:tab w:val="left" w:pos="6820"/>
        </w:tabs>
        <w:spacing w:line="240" w:lineRule="auto"/>
        <w:jc w:val="right"/>
        <w:rPr>
          <w:rFonts w:ascii="Arial" w:hAnsi="Arial" w:cs="Arial"/>
          <w:b/>
          <w:sz w:val="28"/>
          <w:szCs w:val="28"/>
        </w:rPr>
      </w:pPr>
      <w:r>
        <w:rPr>
          <w:rFonts w:ascii="Arial" w:hAnsi="Arial" w:cs="Arial"/>
          <w:b/>
          <w:sz w:val="28"/>
          <w:szCs w:val="28"/>
        </w:rPr>
        <w:t>Pinar del Río, mayo 2022</w:t>
      </w:r>
    </w:p>
    <w:p w:rsidR="00222451" w:rsidRPr="00A65C1C" w:rsidRDefault="00222451" w:rsidP="00222451">
      <w:pPr>
        <w:tabs>
          <w:tab w:val="left" w:pos="6820"/>
        </w:tabs>
        <w:spacing w:line="240" w:lineRule="auto"/>
        <w:jc w:val="right"/>
        <w:rPr>
          <w:rFonts w:ascii="Arial" w:hAnsi="Arial" w:cs="Arial"/>
          <w:b/>
          <w:sz w:val="28"/>
          <w:szCs w:val="28"/>
        </w:rPr>
      </w:pPr>
      <w:r>
        <w:rPr>
          <w:rFonts w:ascii="Arial" w:hAnsi="Arial" w:cs="Arial"/>
          <w:b/>
          <w:sz w:val="28"/>
          <w:szCs w:val="28"/>
        </w:rPr>
        <w:t>Año 64 de la Revolución</w:t>
      </w:r>
    </w:p>
    <w:p w:rsidR="00222451" w:rsidRPr="00266F7C" w:rsidRDefault="00222451" w:rsidP="00222451">
      <w:pPr>
        <w:tabs>
          <w:tab w:val="left" w:pos="6820"/>
        </w:tabs>
        <w:spacing w:line="240" w:lineRule="auto"/>
        <w:jc w:val="center"/>
        <w:rPr>
          <w:b/>
          <w:sz w:val="52"/>
          <w:lang/>
        </w:rPr>
      </w:pPr>
    </w:p>
    <w:p w:rsidR="00222451" w:rsidRDefault="00222451" w:rsidP="00222451">
      <w:pPr>
        <w:tabs>
          <w:tab w:val="left" w:pos="2295"/>
        </w:tabs>
        <w:spacing w:before="100" w:after="100" w:line="360" w:lineRule="auto"/>
        <w:jc w:val="both"/>
        <w:rPr>
          <w:rFonts w:ascii="Arial" w:eastAsia="Times New Roman" w:hAnsi="Arial" w:cs="Arial"/>
          <w:sz w:val="24"/>
          <w:szCs w:val="24"/>
          <w:lang w:eastAsia="es-ES"/>
        </w:rPr>
      </w:pPr>
    </w:p>
    <w:p w:rsidR="00222451" w:rsidRPr="00266F7C" w:rsidRDefault="00222451" w:rsidP="00222451">
      <w:pPr>
        <w:tabs>
          <w:tab w:val="left" w:pos="2295"/>
        </w:tabs>
        <w:spacing w:before="100" w:after="100" w:line="360" w:lineRule="auto"/>
        <w:jc w:val="both"/>
        <w:rPr>
          <w:rFonts w:ascii="Arial" w:eastAsia="Times New Roman" w:hAnsi="Arial" w:cs="Arial"/>
          <w:b/>
          <w:sz w:val="24"/>
          <w:szCs w:val="24"/>
          <w:lang w:eastAsia="es-ES"/>
        </w:rPr>
      </w:pPr>
    </w:p>
    <w:p w:rsidR="00222451" w:rsidRDefault="00222451" w:rsidP="00222451">
      <w:pPr>
        <w:rPr>
          <w:rFonts w:ascii="Arial" w:hAnsi="Arial" w:cs="Arial"/>
          <w:sz w:val="24"/>
          <w:szCs w:val="24"/>
          <w:lang/>
        </w:rPr>
      </w:pPr>
    </w:p>
    <w:p w:rsidR="00222451" w:rsidRPr="001249D5" w:rsidRDefault="00222451" w:rsidP="00222451">
      <w:pPr>
        <w:spacing w:after="0" w:line="360" w:lineRule="auto"/>
        <w:jc w:val="both"/>
        <w:rPr>
          <w:rFonts w:ascii="Arial" w:hAnsi="Arial" w:cs="Arial"/>
          <w:b/>
          <w:sz w:val="24"/>
          <w:szCs w:val="24"/>
          <w:lang/>
        </w:rPr>
      </w:pPr>
      <w:r w:rsidRPr="001249D5">
        <w:rPr>
          <w:rFonts w:ascii="Arial" w:hAnsi="Arial" w:cs="Arial"/>
          <w:b/>
          <w:sz w:val="24"/>
          <w:szCs w:val="24"/>
          <w:lang/>
        </w:rPr>
        <w:t>RESUMEN</w:t>
      </w:r>
    </w:p>
    <w:p w:rsidR="00222451" w:rsidRPr="001249D5" w:rsidRDefault="00222451" w:rsidP="00222451">
      <w:pPr>
        <w:spacing w:after="0" w:line="360" w:lineRule="auto"/>
        <w:jc w:val="both"/>
        <w:rPr>
          <w:rFonts w:ascii="Arial" w:hAnsi="Arial" w:cs="Arial"/>
          <w:b/>
          <w:sz w:val="24"/>
          <w:szCs w:val="24"/>
          <w:lang/>
        </w:rPr>
      </w:pPr>
    </w:p>
    <w:p w:rsidR="00222451" w:rsidRPr="00266F7C" w:rsidRDefault="00222451" w:rsidP="00222451">
      <w:pPr>
        <w:spacing w:line="360" w:lineRule="auto"/>
        <w:jc w:val="both"/>
        <w:rPr>
          <w:rFonts w:ascii="Arial" w:hAnsi="Arial" w:cs="Arial"/>
          <w:sz w:val="24"/>
          <w:szCs w:val="24"/>
          <w:lang/>
        </w:rPr>
      </w:pPr>
      <w:r w:rsidRPr="001249D5">
        <w:rPr>
          <w:rFonts w:ascii="Arial" w:hAnsi="Arial" w:cs="Arial"/>
          <w:b/>
          <w:sz w:val="24"/>
          <w:szCs w:val="24"/>
          <w:lang/>
        </w:rPr>
        <w:t>Introducción:</w:t>
      </w:r>
      <w:r w:rsidRPr="001249D5">
        <w:rPr>
          <w:rFonts w:ascii="Arial" w:hAnsi="Arial" w:cs="Arial"/>
          <w:sz w:val="24"/>
          <w:szCs w:val="24"/>
          <w:lang/>
        </w:rPr>
        <w:t xml:space="preserve"> El soporte nutricional en el paciente crítico es de vital importancia por su impacto en la morbimortalidad, estancia y preservación de la masa tisular entre otros. Se debe garantizar un soporte nutricional a todos los pacientes críticos idealmente por la vía más eficaz. </w:t>
      </w:r>
      <w:r w:rsidRPr="001249D5">
        <w:rPr>
          <w:rFonts w:ascii="Arial" w:hAnsi="Arial" w:cs="Arial"/>
          <w:b/>
          <w:sz w:val="24"/>
          <w:szCs w:val="24"/>
          <w:lang/>
        </w:rPr>
        <w:t>Objetivos:</w:t>
      </w:r>
      <w:r w:rsidRPr="001249D5">
        <w:rPr>
          <w:rFonts w:ascii="Arial" w:eastAsia="Calibri" w:hAnsi="Arial" w:cs="Arial"/>
          <w:sz w:val="24"/>
          <w:szCs w:val="24"/>
          <w:lang w:val="es-ES"/>
        </w:rPr>
        <w:t>demostrar la importancia de la evaluación del estado nutricional en pacientes graves con desnutrición</w:t>
      </w:r>
      <w:r>
        <w:rPr>
          <w:rFonts w:ascii="Arial" w:eastAsia="Calibri" w:hAnsi="Arial" w:cs="Arial"/>
          <w:sz w:val="24"/>
          <w:szCs w:val="24"/>
          <w:lang w:val="es-ES"/>
        </w:rPr>
        <w:t xml:space="preserve">. </w:t>
      </w:r>
      <w:r w:rsidRPr="001249D5">
        <w:rPr>
          <w:rFonts w:ascii="Arial" w:hAnsi="Arial" w:cs="Arial"/>
          <w:color w:val="000000" w:themeColor="text1"/>
          <w:sz w:val="24"/>
          <w:szCs w:val="24"/>
          <w:lang/>
        </w:rPr>
        <w:t xml:space="preserve">Se realizó una revisión bibliográfica a través de la consulta de 23 referencias bibliográficas, </w:t>
      </w:r>
      <w:r>
        <w:rPr>
          <w:rFonts w:ascii="Arial" w:hAnsi="Arial" w:cs="Arial"/>
          <w:color w:val="000000" w:themeColor="text1"/>
          <w:sz w:val="24"/>
          <w:szCs w:val="24"/>
          <w:lang/>
        </w:rPr>
        <w:t xml:space="preserve">con más del </w:t>
      </w:r>
      <w:r w:rsidRPr="001249D5">
        <w:rPr>
          <w:rFonts w:ascii="Arial" w:hAnsi="Arial" w:cs="Arial"/>
          <w:color w:val="000000" w:themeColor="text1"/>
          <w:sz w:val="24"/>
          <w:szCs w:val="24"/>
          <w:lang/>
        </w:rPr>
        <w:t>75 % de ellas pertenecientes a los últimos 5 años.</w:t>
      </w:r>
      <w:r w:rsidRPr="00266F7C">
        <w:rPr>
          <w:rFonts w:ascii="Arial" w:hAnsi="Arial" w:cs="Arial"/>
          <w:b/>
          <w:bCs/>
          <w:sz w:val="24"/>
          <w:szCs w:val="24"/>
          <w:lang/>
        </w:rPr>
        <w:t>Desarrollo:</w:t>
      </w:r>
      <w:r>
        <w:rPr>
          <w:rFonts w:ascii="Arial" w:hAnsi="Arial" w:cs="Arial"/>
          <w:sz w:val="24"/>
          <w:szCs w:val="24"/>
          <w:lang/>
        </w:rPr>
        <w:t xml:space="preserve"> l</w:t>
      </w:r>
      <w:r w:rsidRPr="00650A38">
        <w:rPr>
          <w:rFonts w:ascii="Arial" w:hAnsi="Arial" w:cs="Arial"/>
          <w:sz w:val="24"/>
          <w:szCs w:val="24"/>
          <w:lang/>
        </w:rPr>
        <w:t>os pacientes en estado grave presentan alteraciones metabólicas que incrementan los requerimientos de energía y proteínas. El aumento de las proteínas de fase aguda se acompaña de una rápida disminución de la masa magra y del aumento del nitrógeno ureico en orina, lo que lleva a balance negativo de nitrógeno. Respecto a los lípidos, hay incremento de la lipólisis con aumento de los ácidos grasos libres circulantes, los cuales pueden ser oxidados a cuerpos cetónicos y utilizados como fuente energética en algunos tejidos o ser resintetizados a triglicéridos.</w:t>
      </w:r>
      <w:r w:rsidRPr="001249D5">
        <w:rPr>
          <w:rFonts w:ascii="Arial" w:hAnsi="Arial" w:cs="Arial"/>
          <w:b/>
          <w:color w:val="000000" w:themeColor="text1"/>
          <w:sz w:val="24"/>
          <w:szCs w:val="24"/>
          <w:lang/>
        </w:rPr>
        <w:t xml:space="preserve">Conclusiones: </w:t>
      </w:r>
      <w:r w:rsidRPr="001249D5">
        <w:rPr>
          <w:rFonts w:ascii="Arial" w:hAnsi="Arial" w:cs="Arial"/>
          <w:sz w:val="24"/>
          <w:szCs w:val="24"/>
          <w:lang/>
        </w:rPr>
        <w:t>La terapia nutricional tiene una importancia crucial para nuestra capacidad de manejar enfermedades en general e infecciones, cirugías y traumatismo, en particular. El objeto de la terapia nutricional en estos pacientes es de mantener o mejorar el estado nutricional y evitar y tratar la malnutrición al mantener el tejido corporal, activar las reservas de proteínas plasmáticas y prevenir la deficiencia de macro y micronutrientes.</w:t>
      </w:r>
    </w:p>
    <w:p w:rsidR="00222451" w:rsidRPr="001249D5" w:rsidRDefault="00222451" w:rsidP="00222451">
      <w:pPr>
        <w:spacing w:after="0" w:line="360" w:lineRule="auto"/>
        <w:jc w:val="both"/>
        <w:rPr>
          <w:rFonts w:ascii="Arial" w:hAnsi="Arial" w:cs="Arial"/>
          <w:color w:val="000000" w:themeColor="text1"/>
          <w:sz w:val="24"/>
          <w:szCs w:val="24"/>
          <w:lang w:val="es-MX"/>
        </w:rPr>
      </w:pPr>
      <w:r w:rsidRPr="001249D5">
        <w:rPr>
          <w:rFonts w:ascii="Arial" w:hAnsi="Arial" w:cs="Arial"/>
          <w:b/>
          <w:color w:val="000000" w:themeColor="text1"/>
          <w:sz w:val="24"/>
          <w:szCs w:val="24"/>
          <w:lang w:val="es-MX"/>
        </w:rPr>
        <w:t>DeCS:</w:t>
      </w:r>
      <w:r w:rsidRPr="001249D5">
        <w:rPr>
          <w:rFonts w:ascii="Arial" w:hAnsi="Arial" w:cs="Arial"/>
          <w:color w:val="000000" w:themeColor="text1"/>
          <w:sz w:val="24"/>
          <w:szCs w:val="24"/>
          <w:lang w:val="es-MX"/>
        </w:rPr>
        <w:t xml:space="preserve"> Pacientes; Críticos; Nutrición; Importancia; Requerimientos de energía; Terapia nutricional.</w:t>
      </w:r>
    </w:p>
    <w:p w:rsidR="00222451" w:rsidRPr="001249D5" w:rsidRDefault="00222451" w:rsidP="00222451">
      <w:pPr>
        <w:spacing w:after="0"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after="0" w:line="360" w:lineRule="auto"/>
        <w:jc w:val="both"/>
        <w:rPr>
          <w:rFonts w:ascii="Arial" w:hAnsi="Arial" w:cs="Arial"/>
          <w:sz w:val="24"/>
          <w:szCs w:val="24"/>
          <w:lang/>
        </w:rPr>
      </w:pPr>
    </w:p>
    <w:p w:rsidR="00222451" w:rsidRDefault="00222451" w:rsidP="00222451">
      <w:pPr>
        <w:spacing w:after="0" w:line="360" w:lineRule="auto"/>
        <w:jc w:val="both"/>
        <w:rPr>
          <w:rFonts w:ascii="Arial" w:hAnsi="Arial" w:cs="Arial"/>
          <w:sz w:val="24"/>
          <w:szCs w:val="24"/>
          <w:lang/>
        </w:rPr>
      </w:pPr>
    </w:p>
    <w:p w:rsidR="00222451" w:rsidRDefault="00222451" w:rsidP="00222451">
      <w:pPr>
        <w:spacing w:after="0" w:line="360" w:lineRule="auto"/>
        <w:jc w:val="both"/>
        <w:rPr>
          <w:rFonts w:ascii="Arial" w:eastAsia="Calibri" w:hAnsi="Arial" w:cs="Arial"/>
          <w:b/>
          <w:bCs/>
          <w:sz w:val="24"/>
          <w:szCs w:val="24"/>
          <w:lang w:val="es-ES"/>
        </w:rPr>
      </w:pPr>
    </w:p>
    <w:p w:rsidR="00222451" w:rsidRDefault="00222451" w:rsidP="00222451">
      <w:pPr>
        <w:spacing w:after="0" w:line="360" w:lineRule="auto"/>
        <w:jc w:val="both"/>
        <w:rPr>
          <w:rFonts w:ascii="Arial" w:eastAsia="Calibri" w:hAnsi="Arial" w:cs="Arial"/>
          <w:b/>
          <w:bCs/>
          <w:sz w:val="24"/>
          <w:szCs w:val="24"/>
          <w:lang w:val="es-ES"/>
        </w:rPr>
      </w:pPr>
    </w:p>
    <w:p w:rsidR="00222451" w:rsidRDefault="00222451" w:rsidP="00222451">
      <w:pPr>
        <w:spacing w:after="0" w:line="360" w:lineRule="auto"/>
        <w:jc w:val="both"/>
        <w:rPr>
          <w:rFonts w:ascii="Arial" w:eastAsia="Calibri" w:hAnsi="Arial" w:cs="Arial"/>
          <w:b/>
          <w:bCs/>
          <w:sz w:val="24"/>
          <w:szCs w:val="24"/>
          <w:lang w:val="es-ES"/>
        </w:rPr>
      </w:pPr>
      <w:r w:rsidRPr="001249D5">
        <w:rPr>
          <w:rFonts w:ascii="Arial" w:eastAsia="Calibri" w:hAnsi="Arial" w:cs="Arial"/>
          <w:b/>
          <w:bCs/>
          <w:sz w:val="24"/>
          <w:szCs w:val="24"/>
          <w:lang w:val="es-ES"/>
        </w:rPr>
        <w:t>INTRODUCCIÓN</w:t>
      </w:r>
    </w:p>
    <w:p w:rsidR="00222451" w:rsidRPr="001249D5" w:rsidRDefault="00222451" w:rsidP="00222451">
      <w:pPr>
        <w:spacing w:after="0" w:line="360" w:lineRule="auto"/>
        <w:jc w:val="both"/>
        <w:rPr>
          <w:rFonts w:ascii="Arial" w:eastAsia="Calibri" w:hAnsi="Arial" w:cs="Arial"/>
          <w:b/>
          <w:bCs/>
          <w:sz w:val="32"/>
          <w:szCs w:val="32"/>
          <w:vertAlign w:val="superscript"/>
          <w:lang w:val="es-ES"/>
        </w:rPr>
      </w:pPr>
      <w:r w:rsidRPr="00650A38">
        <w:rPr>
          <w:rFonts w:ascii="Arial" w:eastAsia="Calibri" w:hAnsi="Arial" w:cs="Arial"/>
          <w:sz w:val="24"/>
          <w:szCs w:val="24"/>
          <w:lang w:val="es-ES"/>
        </w:rPr>
        <w:t>El organismo humano se encuentra en un estado de intercambio constante donde los componentes tisulares son sintetizados y catabolizados de forma permanente, para ello se requiere de energía. Debe existir un estrecho equilibrio entre los requerimientos del organismo y el catabolismo normal, que en el paciente crítico puede ser roto, debido a la reducción de la ingesta por estados de inanición o determinadas enfermedades que llevan al paciente al abandono de la vía enteral (por ejemplo, sangramientos digestivos, pancreatitis aguda, etc.) y también, como consecuencia, al aumento de la utilización, de las necesidades de la energía.</w:t>
      </w:r>
      <w:r>
        <w:rPr>
          <w:rFonts w:ascii="Arial" w:eastAsia="Calibri" w:hAnsi="Arial" w:cs="Arial"/>
          <w:sz w:val="24"/>
          <w:szCs w:val="24"/>
          <w:vertAlign w:val="superscript"/>
          <w:lang w:val="es-ES"/>
        </w:rPr>
        <w:t>1</w:t>
      </w:r>
    </w:p>
    <w:p w:rsidR="00222451" w:rsidRPr="001249D5" w:rsidRDefault="00222451" w:rsidP="00222451">
      <w:pPr>
        <w:spacing w:after="0" w:line="360" w:lineRule="auto"/>
        <w:jc w:val="both"/>
        <w:rPr>
          <w:rFonts w:ascii="Arial" w:eastAsia="Calibri" w:hAnsi="Arial" w:cs="Arial"/>
          <w:sz w:val="24"/>
          <w:szCs w:val="24"/>
          <w:vertAlign w:val="superscript"/>
          <w:lang w:val="es-ES"/>
        </w:rPr>
      </w:pPr>
      <w:r w:rsidRPr="001249D5">
        <w:rPr>
          <w:rFonts w:ascii="Arial" w:eastAsia="Calibri" w:hAnsi="Arial" w:cs="Arial"/>
          <w:sz w:val="24"/>
          <w:szCs w:val="24"/>
          <w:lang w:val="es-ES"/>
        </w:rPr>
        <w:t>La desnutrición es un problema reconocido en los pacientes hospitalizados, en especial en los críticos. En el ámbito de salud internacional, la toma de conciencia del problema del hambre y la desnutrición que afectaba a una parte importante de la población mundial llegaría de la mano de las situaciones de crisis alimentarias provocadas por la Primera Guerra Mundial, por los informes generados en las décadas de 1920 y 1930 por el Comité de Higiene de la Sociedad de Naciones sobre la precaria situación nutricional de muchos países desarrollados, y por los acontecimientos de la Segunda Guerra Mundial.</w:t>
      </w:r>
      <w:r>
        <w:rPr>
          <w:rFonts w:ascii="Arial" w:eastAsia="Calibri" w:hAnsi="Arial" w:cs="Arial"/>
          <w:sz w:val="24"/>
          <w:szCs w:val="24"/>
          <w:vertAlign w:val="superscript"/>
          <w:lang w:val="es-ES"/>
        </w:rPr>
        <w:t>1</w:t>
      </w:r>
    </w:p>
    <w:p w:rsidR="00222451" w:rsidRPr="001249D5" w:rsidRDefault="00222451" w:rsidP="00222451">
      <w:pPr>
        <w:spacing w:after="0" w:line="360" w:lineRule="auto"/>
        <w:jc w:val="both"/>
        <w:rPr>
          <w:rFonts w:ascii="Arial" w:eastAsia="Calibri" w:hAnsi="Arial" w:cs="Arial"/>
          <w:sz w:val="24"/>
          <w:szCs w:val="24"/>
          <w:lang w:val="es-ES"/>
        </w:rPr>
      </w:pPr>
      <w:r w:rsidRPr="001249D5">
        <w:rPr>
          <w:rFonts w:ascii="Arial" w:eastAsia="Calibri" w:hAnsi="Arial" w:cs="Arial"/>
          <w:sz w:val="24"/>
          <w:szCs w:val="24"/>
          <w:lang w:val="es-ES"/>
        </w:rPr>
        <w:t xml:space="preserve"> El primer estudio epidemiológico publicado en 1954, fue el Dr. Moisés Béhar (director del INCAP 1961-1974), quien determinó que estos tipos de padecimientos eran resultado de una deficiencia grave de proteínas en relación con las calorías, siendo un descubrimiento científico novedoso de la época a nivel mundial. </w:t>
      </w:r>
      <w:r>
        <w:rPr>
          <w:rFonts w:ascii="Arial" w:eastAsia="Calibri" w:hAnsi="Arial" w:cs="Arial"/>
          <w:sz w:val="24"/>
          <w:szCs w:val="24"/>
          <w:vertAlign w:val="superscript"/>
          <w:lang w:val="es-ES"/>
        </w:rPr>
        <w:t>1</w:t>
      </w:r>
    </w:p>
    <w:p w:rsidR="00222451" w:rsidRPr="001249D5" w:rsidRDefault="00222451" w:rsidP="00222451">
      <w:pPr>
        <w:spacing w:after="0" w:line="360" w:lineRule="auto"/>
        <w:jc w:val="both"/>
        <w:rPr>
          <w:rFonts w:ascii="Arial" w:eastAsia="Calibri" w:hAnsi="Arial" w:cs="Arial"/>
          <w:sz w:val="24"/>
          <w:szCs w:val="24"/>
          <w:vertAlign w:val="superscript"/>
          <w:lang w:val="es-ES"/>
        </w:rPr>
      </w:pPr>
      <w:r w:rsidRPr="001249D5">
        <w:rPr>
          <w:rFonts w:ascii="Arial" w:eastAsia="Calibri" w:hAnsi="Arial" w:cs="Arial"/>
          <w:sz w:val="24"/>
          <w:szCs w:val="24"/>
          <w:lang w:val="es-ES"/>
        </w:rPr>
        <w:t>Hay una estrecha relación entre estado nutricional y severidad de la enfermedad. Se asocia a mayor tiempo de hospitalización, menor sobrevida a largo plazo, infecciones y alteraciones en la cicatrización. Existe evidencia de que un adecuado soporte nutricional disminuye la estadía en las unidades de cuidados intensivos.</w:t>
      </w:r>
      <w:r>
        <w:rPr>
          <w:rFonts w:ascii="Arial" w:eastAsia="Calibri" w:hAnsi="Arial" w:cs="Arial"/>
          <w:sz w:val="24"/>
          <w:szCs w:val="24"/>
          <w:vertAlign w:val="superscript"/>
          <w:lang w:val="es-ES"/>
        </w:rPr>
        <w:t>2</w:t>
      </w:r>
    </w:p>
    <w:p w:rsidR="00222451" w:rsidRPr="001E7C21" w:rsidRDefault="00222451" w:rsidP="00222451">
      <w:pPr>
        <w:spacing w:after="0" w:line="360" w:lineRule="auto"/>
        <w:jc w:val="both"/>
        <w:rPr>
          <w:rFonts w:ascii="Arial" w:eastAsia="Calibri" w:hAnsi="Arial" w:cs="Arial"/>
          <w:sz w:val="24"/>
          <w:szCs w:val="24"/>
          <w:vertAlign w:val="superscript"/>
          <w:lang w:val="es-ES"/>
        </w:rPr>
      </w:pPr>
      <w:r>
        <w:rPr>
          <w:rFonts w:ascii="Arial" w:eastAsia="Calibri" w:hAnsi="Arial" w:cs="Arial"/>
          <w:sz w:val="24"/>
          <w:szCs w:val="24"/>
          <w:lang w:val="es-ES"/>
        </w:rPr>
        <w:t>E</w:t>
      </w:r>
      <w:r w:rsidRPr="001249D5">
        <w:rPr>
          <w:rFonts w:ascii="Arial" w:eastAsia="Calibri" w:hAnsi="Arial" w:cs="Arial"/>
          <w:sz w:val="24"/>
          <w:szCs w:val="24"/>
          <w:lang w:val="es-ES"/>
        </w:rPr>
        <w:t xml:space="preserve">s de gran importancia registrar el estado nutricional al ingreso, para implementar el soporte nutricional en el momento más apropiado. Como primera medida se debe realizar una exploración nutricional, que servirá para identificar a los individuos desnutridos o en riesgo de desarrollar desnutrición.En la fisiopatología de la </w:t>
      </w:r>
      <w:r w:rsidRPr="001249D5">
        <w:rPr>
          <w:rFonts w:ascii="Arial" w:eastAsia="Calibri" w:hAnsi="Arial" w:cs="Arial"/>
          <w:sz w:val="24"/>
          <w:szCs w:val="24"/>
          <w:lang w:val="es-ES"/>
        </w:rPr>
        <w:lastRenderedPageBreak/>
        <w:t xml:space="preserve">malnutrición vinculada a la enfermedad crítica tienen un papel importante los diferentes grados de inflamación aguda o crónica, que dan lugar a una composición corporal alterada y a una pérdida de funciones, entre ellas la cognoscitiva, la inmunitaria y la muscular. </w:t>
      </w:r>
      <w:r>
        <w:rPr>
          <w:rFonts w:ascii="Arial" w:eastAsia="Calibri" w:hAnsi="Arial" w:cs="Arial"/>
          <w:sz w:val="24"/>
          <w:szCs w:val="24"/>
          <w:vertAlign w:val="superscript"/>
          <w:lang w:val="es-ES"/>
        </w:rPr>
        <w:t>3</w:t>
      </w:r>
    </w:p>
    <w:p w:rsidR="00222451" w:rsidRPr="00266F7C" w:rsidRDefault="00222451" w:rsidP="00222451">
      <w:pPr>
        <w:spacing w:after="0" w:line="360" w:lineRule="auto"/>
        <w:jc w:val="both"/>
        <w:rPr>
          <w:rFonts w:ascii="Arial" w:eastAsia="Calibri" w:hAnsi="Arial" w:cs="Arial"/>
          <w:sz w:val="24"/>
          <w:szCs w:val="24"/>
          <w:vertAlign w:val="superscript"/>
          <w:lang w:val="es-ES"/>
        </w:rPr>
      </w:pPr>
      <w:r w:rsidRPr="001249D5">
        <w:rPr>
          <w:rFonts w:ascii="Arial" w:eastAsia="Calibri" w:hAnsi="Arial" w:cs="Arial"/>
          <w:sz w:val="24"/>
          <w:szCs w:val="24"/>
          <w:lang w:val="es-ES"/>
        </w:rPr>
        <w:t>La evaluación del estado nutricional en el paciente crítico tiene como objetivos valorar el estado nutricional en el momento de ingreso en la unidad de cuidados intensivos (UCI), identificar al grupo de pacientes con más posibilidades de beneficiarse en caso de recibir soporte nutricional, identificar de forma individualizada las causas y las consecuencias, en términos de morbimortalidad, de la malnutrición e Identificar los límites de las distintas técnicas de valoración nutricional disponibles y su aplicabilidad al paciente crítico.</w:t>
      </w:r>
      <w:r>
        <w:rPr>
          <w:rFonts w:ascii="Arial" w:eastAsia="Calibri" w:hAnsi="Arial" w:cs="Arial"/>
          <w:sz w:val="24"/>
          <w:szCs w:val="24"/>
          <w:vertAlign w:val="superscript"/>
          <w:lang w:val="es-ES"/>
        </w:rPr>
        <w:t>3</w:t>
      </w:r>
    </w:p>
    <w:p w:rsidR="00222451" w:rsidRPr="001E7C21" w:rsidRDefault="00222451" w:rsidP="00222451">
      <w:pPr>
        <w:spacing w:after="0" w:line="360" w:lineRule="auto"/>
        <w:jc w:val="both"/>
        <w:rPr>
          <w:rFonts w:ascii="Arial" w:eastAsia="Calibri" w:hAnsi="Arial" w:cs="Arial"/>
          <w:sz w:val="24"/>
          <w:szCs w:val="24"/>
          <w:vertAlign w:val="superscript"/>
          <w:lang w:val="es-ES"/>
        </w:rPr>
      </w:pPr>
      <w:r w:rsidRPr="001249D5">
        <w:rPr>
          <w:rFonts w:ascii="Arial" w:eastAsia="Calibri" w:hAnsi="Arial" w:cs="Arial"/>
          <w:sz w:val="24"/>
          <w:szCs w:val="24"/>
          <w:lang w:val="es-ES"/>
        </w:rPr>
        <w:t>La desnutrición es un problema de alta prevalencia a nivel mundial, particularmente en las UCIs, debido a que el paciente grave precisa un aumento de requerimientos energéticos y a su prevalencia e impacto en la respuesta a los tratamientos. En América Latina se registra una alta tasa de desnutrición hospitalaria encontrándose que un 50 % de la población hospitalizada ingresa con algún grado de este tipo de malnutrición, mientras que de ese porciento el 44 % se reporta que ingresa por UCI.</w:t>
      </w:r>
      <w:r>
        <w:rPr>
          <w:rFonts w:ascii="Arial" w:eastAsia="Calibri" w:hAnsi="Arial" w:cs="Arial"/>
          <w:sz w:val="24"/>
          <w:szCs w:val="24"/>
          <w:vertAlign w:val="superscript"/>
          <w:lang w:val="es-ES"/>
        </w:rPr>
        <w:t>4</w:t>
      </w:r>
    </w:p>
    <w:p w:rsidR="00222451" w:rsidRPr="001249D5" w:rsidRDefault="00222451" w:rsidP="00222451">
      <w:pPr>
        <w:spacing w:after="0" w:line="360" w:lineRule="auto"/>
        <w:jc w:val="both"/>
        <w:rPr>
          <w:rFonts w:ascii="Arial" w:eastAsia="Calibri" w:hAnsi="Arial" w:cs="Arial"/>
          <w:sz w:val="24"/>
          <w:szCs w:val="24"/>
          <w:vertAlign w:val="superscript"/>
          <w:lang w:val="es-ES"/>
        </w:rPr>
      </w:pPr>
      <w:r w:rsidRPr="001249D5">
        <w:rPr>
          <w:rFonts w:ascii="Arial" w:eastAsia="Calibri" w:hAnsi="Arial" w:cs="Arial"/>
          <w:sz w:val="24"/>
          <w:szCs w:val="24"/>
          <w:lang w:val="es-ES"/>
        </w:rPr>
        <w:t>En Cuba la tasa de desnutrición moderada y grave es de 49,2 %, con una incidencia de 13,4 % moderada y 35,8 % severa, sobretodo en pacientes ancianos con enfermedades malignas. En La Habana, Cuba hasta el 2018 existía un total de 29 % de desnutrición hospitalaria.</w:t>
      </w:r>
      <w:r>
        <w:rPr>
          <w:rFonts w:ascii="Arial" w:eastAsia="Calibri" w:hAnsi="Arial" w:cs="Arial"/>
          <w:sz w:val="24"/>
          <w:szCs w:val="24"/>
          <w:vertAlign w:val="superscript"/>
          <w:lang w:val="es-ES"/>
        </w:rPr>
        <w:t>4</w:t>
      </w:r>
    </w:p>
    <w:p w:rsidR="00222451" w:rsidRPr="001E7C21" w:rsidRDefault="00222451" w:rsidP="00222451">
      <w:pPr>
        <w:spacing w:after="0" w:line="360" w:lineRule="auto"/>
        <w:jc w:val="both"/>
        <w:rPr>
          <w:rFonts w:ascii="Arial" w:eastAsia="Calibri" w:hAnsi="Arial" w:cs="Arial"/>
          <w:sz w:val="24"/>
          <w:szCs w:val="24"/>
          <w:vertAlign w:val="superscript"/>
          <w:lang w:val="es-ES"/>
        </w:rPr>
      </w:pPr>
      <w:r w:rsidRPr="001249D5">
        <w:rPr>
          <w:rFonts w:ascii="Arial" w:eastAsia="Calibri" w:hAnsi="Arial" w:cs="Arial"/>
          <w:sz w:val="24"/>
          <w:szCs w:val="24"/>
          <w:lang w:val="es-ES"/>
        </w:rPr>
        <w:t>La desnutrición continúa siendo la causa más frecuente de aumento de la morbimortalidad y uno de los principales problemas de salud en todo el mundo, afectando de forma muy especial a un colectivo concreto, como es el de los pacientes hospitalizados, donde la incapacidad de ingesta y la enfermedad son comunes, tomando entidad propia bajo la denominación de desnutrición hospitalaria.</w:t>
      </w:r>
      <w:r>
        <w:rPr>
          <w:rFonts w:ascii="Arial" w:eastAsia="Calibri" w:hAnsi="Arial" w:cs="Arial"/>
          <w:sz w:val="24"/>
          <w:szCs w:val="24"/>
          <w:vertAlign w:val="superscript"/>
          <w:lang w:val="es-ES"/>
        </w:rPr>
        <w:t>5</w:t>
      </w:r>
    </w:p>
    <w:p w:rsidR="00222451" w:rsidRPr="001E7C21" w:rsidRDefault="00222451" w:rsidP="00222451">
      <w:pPr>
        <w:spacing w:after="0" w:line="360" w:lineRule="auto"/>
        <w:jc w:val="both"/>
        <w:rPr>
          <w:rFonts w:ascii="Arial" w:eastAsia="Calibri" w:hAnsi="Arial" w:cs="Arial"/>
          <w:sz w:val="24"/>
          <w:szCs w:val="24"/>
          <w:vertAlign w:val="superscript"/>
          <w:lang w:val="es-ES"/>
        </w:rPr>
      </w:pPr>
      <w:r w:rsidRPr="001249D5">
        <w:rPr>
          <w:rFonts w:ascii="Arial" w:eastAsia="Calibri" w:hAnsi="Arial" w:cs="Arial"/>
          <w:sz w:val="24"/>
          <w:szCs w:val="24"/>
          <w:lang w:val="es-ES"/>
        </w:rPr>
        <w:t xml:space="preserve"> La desnutrición afecta a 30-50 % de los pacientes hospitalizados de todas las edades, tanto por causas quirúrgicas como médicas, aumentando a medida que se prolonga la hospitalización. Es importante identificar a los pacientes desnutridos, o con riesgo de desnutrición, a fin de instaurar, lo antes posible, un soporte nutricional adecuado.</w:t>
      </w:r>
      <w:r>
        <w:rPr>
          <w:rFonts w:ascii="Arial" w:eastAsia="Calibri" w:hAnsi="Arial" w:cs="Arial"/>
          <w:sz w:val="24"/>
          <w:szCs w:val="24"/>
          <w:vertAlign w:val="superscript"/>
          <w:lang w:val="es-ES"/>
        </w:rPr>
        <w:t>6</w:t>
      </w:r>
    </w:p>
    <w:p w:rsidR="00222451" w:rsidRDefault="00222451" w:rsidP="00222451">
      <w:pPr>
        <w:spacing w:after="0" w:line="360" w:lineRule="auto"/>
        <w:jc w:val="both"/>
        <w:rPr>
          <w:rFonts w:ascii="Arial" w:eastAsia="Calibri" w:hAnsi="Arial" w:cs="Arial"/>
          <w:sz w:val="24"/>
          <w:szCs w:val="24"/>
          <w:lang w:val="es-ES"/>
        </w:rPr>
      </w:pPr>
      <w:r w:rsidRPr="001249D5">
        <w:rPr>
          <w:rFonts w:ascii="Arial" w:eastAsia="Calibri" w:hAnsi="Arial" w:cs="Arial"/>
          <w:sz w:val="24"/>
          <w:szCs w:val="24"/>
          <w:lang w:val="es-ES"/>
        </w:rPr>
        <w:lastRenderedPageBreak/>
        <w:t>Se estaría claramente en situación de mala práctica médica si se hace caso omiso de las recomendaciones de nutrición artificial en el paciente crítico, en la insuficiencia renal aguda, en la insuficiencia hepática, en la pancreatitis aguda, en la insuficiencia respiratoria, en el síndrome de intestino corto, en la diabetes mellitus, en los cánceres de aparato digestivo, en el paciente con SIDA, en el gran quemado, en los pacientes politraumatizados, en la sepsis, o después de un trasplante de células precursoras hematopoyéticas.</w:t>
      </w:r>
      <w:r>
        <w:rPr>
          <w:rFonts w:ascii="Arial" w:eastAsia="Calibri" w:hAnsi="Arial" w:cs="Arial"/>
          <w:sz w:val="24"/>
          <w:szCs w:val="24"/>
          <w:vertAlign w:val="superscript"/>
          <w:lang w:val="es-ES"/>
        </w:rPr>
        <w:t>6</w:t>
      </w:r>
    </w:p>
    <w:p w:rsidR="00222451" w:rsidRDefault="00222451" w:rsidP="00222451">
      <w:pPr>
        <w:spacing w:after="0" w:line="360" w:lineRule="auto"/>
        <w:jc w:val="both"/>
        <w:rPr>
          <w:rFonts w:ascii="Arial" w:eastAsia="Calibri" w:hAnsi="Arial" w:cs="Arial"/>
          <w:sz w:val="24"/>
          <w:szCs w:val="24"/>
          <w:lang w:val="es-ES"/>
        </w:rPr>
      </w:pPr>
      <w:r w:rsidRPr="001249D5">
        <w:rPr>
          <w:rFonts w:ascii="Arial" w:eastAsia="Calibri" w:hAnsi="Arial" w:cs="Arial"/>
          <w:sz w:val="24"/>
          <w:szCs w:val="24"/>
          <w:lang w:val="es-ES"/>
        </w:rPr>
        <w:t xml:space="preserve">Por lo tanto, la presente revisión demuestra la importancia de la evaluación del estado nutricional para demostrar el diagnóstico de la desnutrición en pacientes críticos, además de los requerimientos nutricionales en el paciente grave a pesar d que no existan parámetros fiables es la forma más segura de que estos pacientes no lleguen a UCI.  </w:t>
      </w:r>
    </w:p>
    <w:p w:rsidR="00222451" w:rsidRDefault="00222451" w:rsidP="00222451">
      <w:pPr>
        <w:spacing w:after="0" w:line="360" w:lineRule="auto"/>
        <w:jc w:val="both"/>
        <w:rPr>
          <w:rFonts w:ascii="Arial" w:eastAsia="Calibri" w:hAnsi="Arial" w:cs="Arial"/>
          <w:sz w:val="24"/>
          <w:szCs w:val="24"/>
          <w:lang w:val="es-ES"/>
        </w:rPr>
      </w:pPr>
      <w:r>
        <w:rPr>
          <w:rFonts w:ascii="Arial" w:eastAsia="Calibri" w:hAnsi="Arial" w:cs="Arial"/>
          <w:b/>
          <w:bCs/>
          <w:sz w:val="24"/>
          <w:szCs w:val="24"/>
          <w:lang w:val="es-ES"/>
        </w:rPr>
        <w:t>O</w:t>
      </w:r>
      <w:r w:rsidRPr="001249D5">
        <w:rPr>
          <w:rFonts w:ascii="Arial" w:eastAsia="Calibri" w:hAnsi="Arial" w:cs="Arial"/>
          <w:b/>
          <w:bCs/>
          <w:sz w:val="24"/>
          <w:szCs w:val="24"/>
          <w:lang w:val="es-ES"/>
        </w:rPr>
        <w:t>bjetivo</w:t>
      </w:r>
      <w:r>
        <w:rPr>
          <w:rFonts w:ascii="Arial" w:eastAsia="Calibri" w:hAnsi="Arial" w:cs="Arial"/>
          <w:b/>
          <w:bCs/>
          <w:sz w:val="24"/>
          <w:szCs w:val="24"/>
          <w:lang w:val="es-ES"/>
        </w:rPr>
        <w:t xml:space="preserve"> General:</w:t>
      </w:r>
      <w:bookmarkStart w:id="1" w:name="_Hlk103274102"/>
      <w:r w:rsidRPr="001249D5">
        <w:rPr>
          <w:rFonts w:ascii="Arial" w:eastAsia="Calibri" w:hAnsi="Arial" w:cs="Arial"/>
          <w:sz w:val="24"/>
          <w:szCs w:val="24"/>
          <w:lang w:val="es-ES"/>
        </w:rPr>
        <w:t>demostrar la importancia de la evaluación del estado nutricional en pacientes graves con desnutrición</w:t>
      </w:r>
      <w:r>
        <w:rPr>
          <w:rFonts w:ascii="Arial" w:eastAsia="Calibri" w:hAnsi="Arial" w:cs="Arial"/>
          <w:sz w:val="24"/>
          <w:szCs w:val="24"/>
          <w:lang w:val="es-ES"/>
        </w:rPr>
        <w:t xml:space="preserve">. </w:t>
      </w:r>
    </w:p>
    <w:p w:rsidR="00222451" w:rsidRPr="001249D5" w:rsidRDefault="00222451" w:rsidP="00222451">
      <w:pPr>
        <w:spacing w:after="0" w:line="360" w:lineRule="auto"/>
        <w:jc w:val="both"/>
        <w:rPr>
          <w:rFonts w:ascii="Arial" w:eastAsia="Calibri" w:hAnsi="Arial" w:cs="Arial"/>
          <w:sz w:val="24"/>
          <w:szCs w:val="24"/>
          <w:lang w:val="es-ES"/>
        </w:rPr>
      </w:pPr>
      <w:r w:rsidRPr="001E7C21">
        <w:rPr>
          <w:rFonts w:ascii="Arial" w:eastAsia="Calibri" w:hAnsi="Arial" w:cs="Arial"/>
          <w:b/>
          <w:bCs/>
          <w:sz w:val="24"/>
          <w:szCs w:val="24"/>
          <w:lang w:val="es-ES"/>
        </w:rPr>
        <w:t>Objetivos Específicos:</w:t>
      </w:r>
      <w:r w:rsidRPr="001249D5">
        <w:rPr>
          <w:rFonts w:ascii="Arial" w:eastAsia="Calibri" w:hAnsi="Arial" w:cs="Arial"/>
          <w:sz w:val="24"/>
          <w:szCs w:val="24"/>
          <w:lang w:val="es-ES"/>
        </w:rPr>
        <w:t>establecer los requerimientos nutricionales para estos pacientes</w:t>
      </w:r>
      <w:r>
        <w:rPr>
          <w:rFonts w:ascii="Arial" w:eastAsia="Calibri" w:hAnsi="Arial" w:cs="Arial"/>
          <w:sz w:val="24"/>
          <w:szCs w:val="24"/>
          <w:lang w:val="es-ES"/>
        </w:rPr>
        <w:t xml:space="preserve">. </w:t>
      </w:r>
    </w:p>
    <w:bookmarkEnd w:id="1"/>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Pr="00266F7C" w:rsidRDefault="00222451" w:rsidP="00222451">
      <w:pPr>
        <w:spacing w:line="360" w:lineRule="auto"/>
        <w:jc w:val="both"/>
        <w:rPr>
          <w:rFonts w:ascii="Arial" w:hAnsi="Arial" w:cs="Arial"/>
          <w:b/>
          <w:bCs/>
          <w:sz w:val="28"/>
          <w:szCs w:val="28"/>
          <w:lang/>
        </w:rPr>
      </w:pPr>
      <w:r w:rsidRPr="00266F7C">
        <w:rPr>
          <w:rFonts w:ascii="Arial" w:hAnsi="Arial" w:cs="Arial"/>
          <w:b/>
          <w:bCs/>
          <w:sz w:val="28"/>
          <w:szCs w:val="28"/>
          <w:lang/>
        </w:rPr>
        <w:t xml:space="preserve">Desarrollo: </w:t>
      </w:r>
    </w:p>
    <w:p w:rsidR="00222451" w:rsidRPr="00650A38"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Los pacientes en estado grave presentan alteraciones metabólicas que incrementan los requerimientos de energía y proteínas. El aumento de las proteínas de fase aguda se acompaña de una rápida disminución de la masa magra y del aumento del nitrógeno ureico en orina, lo que lleva a balance negativo de nitrógeno. Respecto a los lípidos, hay incremento de la lipólisis con aumento de los ácidos grasos libres circulantes, los cuales pueden ser oxidados a cuerpos cetónicos y utilizados como fuente energética en algunos tejidos o ser resintetizados a triglicéridos.</w:t>
      </w:r>
      <w:r>
        <w:rPr>
          <w:rFonts w:ascii="Arial" w:hAnsi="Arial" w:cs="Arial"/>
          <w:sz w:val="24"/>
          <w:szCs w:val="24"/>
          <w:vertAlign w:val="superscript"/>
          <w:lang/>
        </w:rPr>
        <w:t>7</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 xml:space="preserve"> La hiperglicemia es casi una constante en estos pacientes, secundaria a un aumento en la producción de glucosa, a la gluconeogénesis y a valores elevados de hormonas como la epinefrina que disminuye la liberación de insulina. El resultado final de todas estas alteraciones es la desnutrición, la cual a su vez incrementa el riesgo de infecciones nosocomiales, deterioro de la función respiratoria y aumento de la mortalidad</w:t>
      </w:r>
      <w:r>
        <w:rPr>
          <w:rFonts w:ascii="Arial" w:hAnsi="Arial" w:cs="Arial"/>
          <w:sz w:val="24"/>
          <w:szCs w:val="24"/>
          <w:lang/>
        </w:rPr>
        <w:t>.</w:t>
      </w:r>
      <w:r>
        <w:rPr>
          <w:rFonts w:ascii="Arial" w:hAnsi="Arial" w:cs="Arial"/>
          <w:sz w:val="24"/>
          <w:szCs w:val="24"/>
          <w:vertAlign w:val="superscript"/>
          <w:lang/>
        </w:rPr>
        <w:t>7</w:t>
      </w:r>
    </w:p>
    <w:p w:rsidR="00222451" w:rsidRPr="00650A38" w:rsidRDefault="00222451" w:rsidP="00222451">
      <w:pPr>
        <w:spacing w:line="360" w:lineRule="auto"/>
        <w:jc w:val="both"/>
        <w:rPr>
          <w:rFonts w:ascii="Arial" w:hAnsi="Arial" w:cs="Arial"/>
          <w:sz w:val="24"/>
          <w:szCs w:val="24"/>
          <w:lang/>
        </w:rPr>
      </w:pPr>
      <w:r w:rsidRPr="00650A38">
        <w:rPr>
          <w:rFonts w:ascii="Arial" w:hAnsi="Arial" w:cs="Arial"/>
          <w:sz w:val="24"/>
          <w:szCs w:val="24"/>
          <w:lang/>
        </w:rPr>
        <w:t>Evaluación nutricional del paciente grave</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Evaluar el estado nutricional del paciente grave es un proceso complejo, pues por sí misma la respuesta metabólica a cualquier injuria genera una serie de eventos que deben tenerse presentes al momento de interpretar los resultados. Este se debe basar en la valoración del estado nutricional como un proceso sistemático, continuo y dinámico por medio del cual se obtiene, se confirma e interpreta información relacionada con la condición nutricional de un paciente, y dentro de sus objetivos debe primar la evaluación nutricional identificar deficiencias de nutrientes y determinar la necesidad de reposición, recolectar los datos para formular el plan de atención nutricional, evaluar la adherencia y la respuesta a la terapia nutricional.</w:t>
      </w:r>
      <w:r>
        <w:rPr>
          <w:rFonts w:ascii="Arial" w:hAnsi="Arial" w:cs="Arial"/>
          <w:sz w:val="24"/>
          <w:szCs w:val="24"/>
          <w:vertAlign w:val="superscript"/>
          <w:lang/>
        </w:rPr>
        <w:t>8</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lastRenderedPageBreak/>
        <w:t>La evaluación del estado nutricional puede ser realizada por métodos objetivos y subjetivos. El método objetivo incluye indicadores directos (antropométricos, bioquímicos, clínicos y funcionales) e indirectos (alimentarios, actividad física, psico-sociales); el método subjetivo parte de datos de la historia clínica y del examen físico. En el paciente grave lo ideal es disponer de la información para realizar una valoración objetiva, sin embargo, las condiciones del paciente, la patología de base y el tratamiento médico, limitan la posibilidad de obtener todos los datos e interpretarlos de manera adecuada.</w:t>
      </w:r>
      <w:r>
        <w:rPr>
          <w:rFonts w:ascii="Arial" w:hAnsi="Arial" w:cs="Arial"/>
          <w:sz w:val="24"/>
          <w:szCs w:val="24"/>
          <w:vertAlign w:val="superscript"/>
          <w:lang/>
        </w:rPr>
        <w:t>8</w:t>
      </w:r>
    </w:p>
    <w:p w:rsidR="00222451" w:rsidRPr="00650A38"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La valoración global subjetiva surge como un método alternativo que ha sido validado en pacientes hospitalizados, mostrando una excelente correlación con medidas objetivas; es sencillo y de bajo costo, aunque requiere un mínimo de experiencia en quien la realiza. Desafortunadamente no se ha identificado hasta ahora “el método ideal” y ningún indicador aislado tiene la habilidad para determinar el estado nutricional del paciente</w:t>
      </w:r>
      <w:r>
        <w:rPr>
          <w:rFonts w:ascii="Arial" w:hAnsi="Arial" w:cs="Arial"/>
          <w:sz w:val="24"/>
          <w:szCs w:val="24"/>
          <w:lang/>
        </w:rPr>
        <w:t>.</w:t>
      </w:r>
      <w:r>
        <w:rPr>
          <w:rFonts w:ascii="Arial" w:hAnsi="Arial" w:cs="Arial"/>
          <w:sz w:val="24"/>
          <w:szCs w:val="24"/>
          <w:vertAlign w:val="superscript"/>
          <w:lang/>
        </w:rPr>
        <w:t>8,9</w:t>
      </w:r>
    </w:p>
    <w:p w:rsidR="00222451" w:rsidRPr="00650A38"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 La recomendación es utilizar el método de valoración global subjetiva complementado con el índice de masa corporal y la concentración de albúmina. Aunque es válido aclarar estos dos últimos indicadores tienen limitaciones en los pacientes graves, ya que el registro del peso corporal es difícil de obtener en forma directa y la mayoría de las veces se determina de manera subjetiva llevando a subestimar o sobreestimar dicho parámetro y en consecuencia el resultado final del IMC.</w:t>
      </w:r>
      <w:r>
        <w:rPr>
          <w:rFonts w:ascii="Arial" w:hAnsi="Arial" w:cs="Arial"/>
          <w:sz w:val="24"/>
          <w:szCs w:val="24"/>
          <w:vertAlign w:val="superscript"/>
          <w:lang/>
        </w:rPr>
        <w:t>9</w:t>
      </w:r>
    </w:p>
    <w:p w:rsidR="00222451" w:rsidRPr="00650A38"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 Respecto a la albúmina, es un indicador con desventajas a la hora de su interpretación en el paciente grave, especialmente por ser una proteína de fase aguda negativa y no reflejar la verdadera condición de la proteína visceral, entre otros factores por la presencia de edema, patología de base, estados post quirúrgicos, etc. De acuerdo a lo anterior, se considera que en medio de las limitaciones, la mejor alternativa para evaluar el estado nutricional de los pacientes graves sigue siendo la valoración global subjetiva, la cual requiere habilidad por parte del evaluador.</w:t>
      </w:r>
      <w:r>
        <w:rPr>
          <w:rFonts w:ascii="Arial" w:hAnsi="Arial" w:cs="Arial"/>
          <w:sz w:val="24"/>
          <w:szCs w:val="24"/>
          <w:vertAlign w:val="superscript"/>
          <w:lang/>
        </w:rPr>
        <w:t>9,10</w:t>
      </w:r>
    </w:p>
    <w:p w:rsidR="00222451" w:rsidRPr="00650A38" w:rsidRDefault="00222451" w:rsidP="00222451">
      <w:pPr>
        <w:spacing w:line="360" w:lineRule="auto"/>
        <w:jc w:val="both"/>
        <w:rPr>
          <w:rFonts w:ascii="Arial" w:hAnsi="Arial" w:cs="Arial"/>
          <w:sz w:val="24"/>
          <w:szCs w:val="24"/>
          <w:lang/>
        </w:rPr>
      </w:pPr>
      <w:r w:rsidRPr="00650A38">
        <w:rPr>
          <w:rFonts w:ascii="Arial" w:hAnsi="Arial" w:cs="Arial"/>
          <w:sz w:val="24"/>
          <w:szCs w:val="24"/>
          <w:lang/>
        </w:rPr>
        <w:t>Determinación de requerimientos de energía en el paciente grave</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lastRenderedPageBreak/>
        <w:t>El cálculo del gasto energético en los pacientes graves es fundamental en el tratamiento nutricional. El aporte excesivo de energía puede llevar a hiperglucemia, disfunción hepática e incremento en la producción de CO2, exacerbando así la insuficiencia respiratoria o prolongando el retiro del ventilador, pero un déficit también puede llevar a retraso en la cicatrización de las heridas, alteración de la respuesta inmune y disfunción de los músculos respiratorios.</w:t>
      </w:r>
      <w:r>
        <w:rPr>
          <w:rFonts w:ascii="Arial" w:hAnsi="Arial" w:cs="Arial"/>
          <w:sz w:val="24"/>
          <w:szCs w:val="24"/>
          <w:vertAlign w:val="superscript"/>
          <w:lang/>
        </w:rPr>
        <w:t>11</w:t>
      </w:r>
    </w:p>
    <w:p w:rsidR="00222451" w:rsidRPr="00650A38"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Aunque las dietas hipocalóricas en los pacientes gravemente enfermos han mostrado resultados positivos en los estudios retrospectivos, la reducción en el aporte de energía y la duración de este no se conoce. En los pacientes de cuidados intensivos, la tasa metabólica puede medirse por tres métodos: calorimetría indirecta, método de Fick y ecuaciones que consideran la edad, el sexo, el peso, la estatura y el grado de injuria/enfermedad.</w:t>
      </w:r>
      <w:r>
        <w:rPr>
          <w:rFonts w:ascii="Arial" w:hAnsi="Arial" w:cs="Arial"/>
          <w:sz w:val="24"/>
          <w:szCs w:val="24"/>
          <w:vertAlign w:val="superscript"/>
          <w:lang/>
        </w:rPr>
        <w:t>11</w:t>
      </w:r>
    </w:p>
    <w:p w:rsidR="00222451" w:rsidRPr="00650A38"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La calorimetría indirecta es considerada el “gold standard” y el método preferido para utilizar en estos pacientes por la exactitud; la disponibilidad de instrumentos comerciales portátiles permite hoy día realizar esta medición tanto en pacientes con respiración espontánea como en aquellos en ventilación asistida, sin embargo, algunos autores consideran que el equipo es costoso, que requiere personal entrenado y su uso es limitado en condiciones metabólicas específicas. El método de Fick es invasivo, dado que se requiere la inserción de un catéter para medir el gasto cardíaco, el índice de resistencia vascular sistémico y la presión de la arteria pulmonar por lo que su uso para estimar el gasto energético es poco práctico.</w:t>
      </w:r>
      <w:r>
        <w:rPr>
          <w:rFonts w:ascii="Arial" w:hAnsi="Arial" w:cs="Arial"/>
          <w:sz w:val="24"/>
          <w:szCs w:val="24"/>
          <w:vertAlign w:val="superscript"/>
          <w:lang/>
        </w:rPr>
        <w:t>12</w:t>
      </w:r>
    </w:p>
    <w:p w:rsidR="00222451" w:rsidRPr="00650A38" w:rsidRDefault="00222451" w:rsidP="00222451">
      <w:pPr>
        <w:spacing w:line="360" w:lineRule="auto"/>
        <w:jc w:val="both"/>
        <w:rPr>
          <w:rFonts w:ascii="Arial" w:hAnsi="Arial" w:cs="Arial"/>
          <w:sz w:val="24"/>
          <w:szCs w:val="24"/>
          <w:lang/>
        </w:rPr>
      </w:pPr>
      <w:r w:rsidRPr="00650A38">
        <w:rPr>
          <w:rFonts w:ascii="Arial" w:hAnsi="Arial" w:cs="Arial"/>
          <w:sz w:val="24"/>
          <w:szCs w:val="24"/>
          <w:lang/>
        </w:rPr>
        <w:t>Existen numerosas ecuaciones para determinar el requerimiento de energía en los pacientes hospitalizados, algunas desarrolladas en personas sanas y modificadas para pacientes graves al multiplicarlas por factores de estrés; otras ecuaciones han tenido en cuenta el hipermetabolismo de la enfermedad sin necesidad de utilizar factor de injuria. La literatura reporta que las ecuaciones en general pueden subestimar los requerimientos en un 30% o sobreestimarlos hasta en un 50%.</w:t>
      </w:r>
      <w:r>
        <w:rPr>
          <w:rFonts w:ascii="Arial" w:hAnsi="Arial" w:cs="Arial"/>
          <w:sz w:val="24"/>
          <w:szCs w:val="24"/>
          <w:vertAlign w:val="superscript"/>
          <w:lang/>
        </w:rPr>
        <w:t>12,13</w:t>
      </w:r>
    </w:p>
    <w:p w:rsidR="00222451" w:rsidRPr="00650A38"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A pesar de esto no es posible aconsejar cual debe utilizarse para garantizar mayor exactitud, lo único claro hasta ahora, es que debe evitarse la sobrealimentación por las condiciones metabólicas que exhiben estos enfermos y que la determinación de las </w:t>
      </w:r>
      <w:r w:rsidRPr="00650A38">
        <w:rPr>
          <w:rFonts w:ascii="Arial" w:hAnsi="Arial" w:cs="Arial"/>
          <w:sz w:val="24"/>
          <w:szCs w:val="24"/>
          <w:lang/>
        </w:rPr>
        <w:lastRenderedPageBreak/>
        <w:t>necesidades de energía es un proceso dinámico que deberá cambiar según la evolución clínica del paciente.</w:t>
      </w:r>
      <w:r>
        <w:rPr>
          <w:rFonts w:ascii="Arial" w:hAnsi="Arial" w:cs="Arial"/>
          <w:sz w:val="24"/>
          <w:szCs w:val="24"/>
          <w:vertAlign w:val="superscript"/>
          <w:lang/>
        </w:rPr>
        <w:t>13</w:t>
      </w:r>
    </w:p>
    <w:p w:rsidR="00222451" w:rsidRPr="00650A38" w:rsidRDefault="00222451" w:rsidP="00222451">
      <w:pPr>
        <w:spacing w:line="360" w:lineRule="auto"/>
        <w:jc w:val="both"/>
        <w:rPr>
          <w:rFonts w:ascii="Arial" w:hAnsi="Arial" w:cs="Arial"/>
          <w:sz w:val="24"/>
          <w:szCs w:val="24"/>
          <w:lang/>
        </w:rPr>
      </w:pPr>
      <w:r w:rsidRPr="00650A38">
        <w:rPr>
          <w:rFonts w:ascii="Arial" w:hAnsi="Arial" w:cs="Arial"/>
          <w:sz w:val="24"/>
          <w:szCs w:val="24"/>
          <w:lang/>
        </w:rPr>
        <w:t>Soporte nutricional en el paciente grave:</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Como lo muestran diversos estudios, en el paciente grave el SN debería ser considerado un objetivo terapéutico primario y no relegarlo a un segundo plano con la justificación errónea de la gravedad de la patología o la estimación de una escasa expectativa de vida. Entre otros el SN ha mostrado beneficios en la curación de las heridas, menor respuesta catabólica al trauma, mejoría en la permeabilidad intestinal, menor incidencia de traslocación bacteriana, disminución en las complicaciones y menor estancia hospitalaria.</w:t>
      </w:r>
      <w:r>
        <w:rPr>
          <w:rFonts w:ascii="Arial" w:hAnsi="Arial" w:cs="Arial"/>
          <w:sz w:val="24"/>
          <w:szCs w:val="24"/>
          <w:vertAlign w:val="superscript"/>
          <w:lang/>
        </w:rPr>
        <w:t>14</w:t>
      </w:r>
    </w:p>
    <w:p w:rsidR="00222451" w:rsidRPr="00650A38"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El SN se pude definir como el aporte de nutrientes por vías enteral o parenteral con el propósito de alcanzar y/o mantener un estado nutricional adecuado en los pacientes en los que la alimentación normal no se puede realizar. Factores como el riesgo/beneficio del tratamiento seleccionado para el paciente y la valoración de la función intestinal se deben considerar al momento de tomar la decisión del tipo de soporte a implementar en el paciente grave.</w:t>
      </w:r>
      <w:r>
        <w:rPr>
          <w:rFonts w:ascii="Arial" w:hAnsi="Arial" w:cs="Arial"/>
          <w:sz w:val="24"/>
          <w:szCs w:val="24"/>
          <w:vertAlign w:val="superscript"/>
          <w:lang/>
        </w:rPr>
        <w:t>14</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Soporte nutricional enteral (SNE): se define como el aporte de nutrientes a través de la vía digestiva, utilizando medios diferentes a la alimentación convencional y tiene como propósito contribuir al aporte parcial o total de los requerimientos nutricionales. Son candidatos a este tipo de soporte los pacientes que no pueden, no deben o no quieren comer por vía oral, pero mantienen un intestino funcionante, incluso se puede intentar en aquellos con una actividad funcional mínima con capacidad absortiva en el intestino delgado.</w:t>
      </w:r>
      <w:r>
        <w:rPr>
          <w:rFonts w:ascii="Arial" w:hAnsi="Arial" w:cs="Arial"/>
          <w:sz w:val="24"/>
          <w:szCs w:val="24"/>
          <w:vertAlign w:val="superscript"/>
          <w:lang/>
        </w:rPr>
        <w:t>15</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Las únicas contraindicaciones absolutas de la NE son la obstrucción, la perforación intestinal y las fístulas de alto débito de yeyuno e íleon. Una vez que se ha tomado la decisión de suministrar NE, se debe elegir el acceso más adecuado y la técnica óptima para realizarlo, pues estos son factores fundamentales para lograr los objetivos del SNE y disminuir sus complicaciones. El acceso enteral se define de acuerdo al estado </w:t>
      </w:r>
      <w:r w:rsidRPr="00650A38">
        <w:rPr>
          <w:rFonts w:ascii="Arial" w:hAnsi="Arial" w:cs="Arial"/>
          <w:sz w:val="24"/>
          <w:szCs w:val="24"/>
          <w:lang/>
        </w:rPr>
        <w:lastRenderedPageBreak/>
        <w:t>funcional y anatómico del tracto gastrointestinal, estado de conciencia, duración, posibilidad técnica del abordaje y el riesgo de broncoaspiración.</w:t>
      </w:r>
      <w:r>
        <w:rPr>
          <w:rFonts w:ascii="Arial" w:hAnsi="Arial" w:cs="Arial"/>
          <w:sz w:val="24"/>
          <w:szCs w:val="24"/>
          <w:vertAlign w:val="superscript"/>
          <w:lang/>
        </w:rPr>
        <w:t>16</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Los accesos se clasifican según el sitio de ubicación en gástricos y yeyunales y según la duración, en temporales y definitivos. El acceso gástrico tiene entre otras ventajas, que el estómago tolera volúmenes y osmolaridad altos, lo que permite en ciertas situaciones la administración de la NE en forma intermitente. Su desventaja es el riesgo de reflujo gastroesofágico y la broncoaspiración. La sonda nasogástrica es recomendable en pacientes en los cuales se espera un SN menor a seis semanas o en pacientes con lesiones en esófago y faringe en quienes no es posible un acceso nasal.</w:t>
      </w:r>
      <w:r>
        <w:rPr>
          <w:rFonts w:ascii="Arial" w:hAnsi="Arial" w:cs="Arial"/>
          <w:sz w:val="24"/>
          <w:szCs w:val="24"/>
          <w:vertAlign w:val="superscript"/>
          <w:lang/>
        </w:rPr>
        <w:t>16,17</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 El acceso yeyunal está indicado en pacientes con alto riesgo de broncoaspiración o con retardo en el vaciamiento gástrico, la sonda a yeyuno se recomienda para pacientes en quienes funciona el tracto gastrointestinal pero está contraindicada la vía gástrica y en los cuales se prevé una duración del SNE menor de seis semanas.</w:t>
      </w:r>
      <w:r>
        <w:rPr>
          <w:rFonts w:ascii="Arial" w:hAnsi="Arial" w:cs="Arial"/>
          <w:sz w:val="24"/>
          <w:szCs w:val="24"/>
          <w:vertAlign w:val="superscript"/>
          <w:lang/>
        </w:rPr>
        <w:t>17</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 Es también la elección para pacientes candidatos a nutrición enteral temprana luego de un trauma o cirugía abdominal quienes presentan una alta probabilidad de íleo gástrico; para la colación de la sonda a yeyuno se emplean técnicas fluroscópicas, endoscópicas y a ciegas. La yeyunostomía se indica cuando la duración del SNE se prevé mayor a seis semanas y se realiza mediante técnicas quirúrgicas, endoscópicas y laparoscópicas.</w:t>
      </w:r>
      <w:r>
        <w:rPr>
          <w:rFonts w:ascii="Arial" w:hAnsi="Arial" w:cs="Arial"/>
          <w:sz w:val="24"/>
          <w:szCs w:val="24"/>
          <w:vertAlign w:val="superscript"/>
          <w:lang/>
        </w:rPr>
        <w:t>17</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Respecto al material, las sondas de poliuretano o silicona son mejor toleradas por los pacientes que las de polivinilo. En cuanto al calibre, para uso nasal se recomienda entre 10 y 16 french, para gastrostomías entre 18 y 22 french y para yeyunostomía entre 8 y 10 french.</w:t>
      </w:r>
      <w:r>
        <w:rPr>
          <w:rFonts w:ascii="Arial" w:hAnsi="Arial" w:cs="Arial"/>
          <w:sz w:val="24"/>
          <w:szCs w:val="24"/>
          <w:vertAlign w:val="superscript"/>
          <w:lang/>
        </w:rPr>
        <w:t>17</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 xml:space="preserve">Definidos los accesos, técnicas y sondas, la selección de la fórmula se basará en la condición clínica y metabólica del paciente, la funcionalidad del tracto digestivo, especialmente la capacidad digestiva y absortiva, y las necesidades de energía y nutrientes. Las fórmulas se han clasificado de acuerdo a su composición en </w:t>
      </w:r>
      <w:r w:rsidRPr="00650A38">
        <w:rPr>
          <w:rFonts w:ascii="Arial" w:hAnsi="Arial" w:cs="Arial"/>
          <w:sz w:val="24"/>
          <w:szCs w:val="24"/>
          <w:lang/>
        </w:rPr>
        <w:lastRenderedPageBreak/>
        <w:t>poliméricas, las cuales contienen los nutrientes intactos, y oligoméricas en las cuales los nutrientes se encuentran hidrolizados, total o parcialment</w:t>
      </w:r>
      <w:r>
        <w:rPr>
          <w:rFonts w:ascii="Arial" w:hAnsi="Arial" w:cs="Arial"/>
          <w:sz w:val="24"/>
          <w:szCs w:val="24"/>
          <w:lang/>
        </w:rPr>
        <w:t>e.</w:t>
      </w:r>
      <w:r>
        <w:rPr>
          <w:rFonts w:ascii="Arial" w:hAnsi="Arial" w:cs="Arial"/>
          <w:sz w:val="24"/>
          <w:szCs w:val="24"/>
          <w:vertAlign w:val="superscript"/>
          <w:lang/>
        </w:rPr>
        <w:t>17</w:t>
      </w:r>
    </w:p>
    <w:p w:rsidR="00222451" w:rsidRPr="00BD31E5" w:rsidRDefault="00222451" w:rsidP="00222451">
      <w:pPr>
        <w:spacing w:line="360" w:lineRule="auto"/>
        <w:jc w:val="both"/>
        <w:rPr>
          <w:rFonts w:ascii="Arial" w:hAnsi="Arial" w:cs="Arial"/>
          <w:sz w:val="24"/>
          <w:szCs w:val="24"/>
          <w:vertAlign w:val="superscript"/>
          <w:lang/>
        </w:rPr>
      </w:pPr>
      <w:r>
        <w:rPr>
          <w:rFonts w:ascii="Arial" w:hAnsi="Arial" w:cs="Arial"/>
          <w:sz w:val="24"/>
          <w:szCs w:val="24"/>
          <w:lang/>
        </w:rPr>
        <w:t>T</w:t>
      </w:r>
      <w:r w:rsidRPr="00650A38">
        <w:rPr>
          <w:rFonts w:ascii="Arial" w:hAnsi="Arial" w:cs="Arial"/>
          <w:sz w:val="24"/>
          <w:szCs w:val="24"/>
          <w:lang/>
        </w:rPr>
        <w:t>ambién se dispone en el mercado de fórmulas especializadas para algunas patologías y módulos de nutrientes. Además de la composición, es importante tener en cuenta la densidad energética y distribución de macronutrientes de cada fórmula. Finalmente se define el sistema de administración que puede ser infusión continua, intermitente, cíclica o por bolos</w:t>
      </w:r>
      <w:r>
        <w:rPr>
          <w:rFonts w:ascii="Arial" w:hAnsi="Arial" w:cs="Arial"/>
          <w:sz w:val="24"/>
          <w:szCs w:val="24"/>
          <w:lang/>
        </w:rPr>
        <w:t xml:space="preserve">. </w:t>
      </w:r>
      <w:r>
        <w:rPr>
          <w:rFonts w:ascii="Arial" w:hAnsi="Arial" w:cs="Arial"/>
          <w:sz w:val="24"/>
          <w:szCs w:val="24"/>
          <w:vertAlign w:val="superscript"/>
          <w:lang/>
        </w:rPr>
        <w:t>18</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Soporte nutricional parenteral (SNP): consiste en el aporte de nutrientes al organismo por vía venosa, de tal forma que éstos llegan directamente al torrente sanguíneo, evitándose el proceso digestivo y el filtro hepático. Es una técnica de alto costo con riesgo de complicaciones graves para el paciente, por lo cual está reservada para situaciones muy especiales.</w:t>
      </w:r>
      <w:r>
        <w:rPr>
          <w:rFonts w:ascii="Arial" w:hAnsi="Arial" w:cs="Arial"/>
          <w:sz w:val="24"/>
          <w:szCs w:val="24"/>
          <w:vertAlign w:val="superscript"/>
          <w:lang/>
        </w:rPr>
        <w:t>18</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Son candidatos a este tipo de soporte pacientes incapaces de utilizar el tubo digestivo por más de siete días (Síndrome de Intestino corto, síndrome pilórico), pacientes que requieren una complementación porque la NE no alcanza a cubrir las demandas y pacientes con indicación de reposo intestinal (Colitis ulcerativa grave, pancreatitis aguda grave con hemorragia en sus primeras etapas, fístulas de alto débito).</w:t>
      </w:r>
      <w:r>
        <w:rPr>
          <w:rFonts w:ascii="Arial" w:hAnsi="Arial" w:cs="Arial"/>
          <w:sz w:val="24"/>
          <w:szCs w:val="24"/>
          <w:vertAlign w:val="superscript"/>
          <w:lang/>
        </w:rPr>
        <w:t>18</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Como desventajas, la NP produce atrofia de la mucosa intestinal por la disminución de la actividad enzimática de los enterocitos, situación que es reversible con la alimentación enteral; otra desventaja es su alto costo tanto por los productos como por su preparación y administración.</w:t>
      </w:r>
      <w:r>
        <w:rPr>
          <w:rFonts w:ascii="Arial" w:hAnsi="Arial" w:cs="Arial"/>
          <w:sz w:val="24"/>
          <w:szCs w:val="24"/>
          <w:vertAlign w:val="superscript"/>
          <w:lang/>
        </w:rPr>
        <w:t>18</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La NP se administra por medio de un acceso venoso central localizado en vena cava superior o inferior, generalmente a través de la vena subclavia, lo cual permite la administración de volúmenes y concentraciones altas de mezclas durante períodos prolongados. Respecto a los componentes de la NP, el aporte de proteínas se hace a través de soluciones de aminoácidos cristalinos en concentraciones desde 3,5 al 15%.</w:t>
      </w:r>
      <w:r>
        <w:rPr>
          <w:rFonts w:ascii="Arial" w:hAnsi="Arial" w:cs="Arial"/>
          <w:sz w:val="24"/>
          <w:szCs w:val="24"/>
          <w:vertAlign w:val="superscript"/>
          <w:lang/>
        </w:rPr>
        <w:t xml:space="preserve">19 </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Los lípidos se administran en emulsiones intravenosas como fuente de energía y ácidos grasos esenciales, para lo cual se precisa de un aporte mínimo entre 4 y 8% del </w:t>
      </w:r>
      <w:r w:rsidRPr="00650A38">
        <w:rPr>
          <w:rFonts w:ascii="Arial" w:hAnsi="Arial" w:cs="Arial"/>
          <w:sz w:val="24"/>
          <w:szCs w:val="24"/>
          <w:lang/>
        </w:rPr>
        <w:lastRenderedPageBreak/>
        <w:t>aporte energético diario; están contraindicados en pacientes con hiperlipidemias severas, nefrosis lipoide, alergia severa al huevo y pancreatitis asociada con hiperlipidemia. Se dispone de emulsiones en concentraciones entre el 10 y 20%, preferibles estas últimas con aporte de triglicéridos de cadena larga y cadena media.</w:t>
      </w:r>
      <w:r>
        <w:rPr>
          <w:rFonts w:ascii="Arial" w:hAnsi="Arial" w:cs="Arial"/>
          <w:sz w:val="24"/>
          <w:szCs w:val="24"/>
          <w:vertAlign w:val="superscript"/>
          <w:lang/>
        </w:rPr>
        <w:t>19</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Los carbohidratos constituyen la principal fuente de energía, se utiliza la dextrosa en agua destilada en concentraciones entre el 30 y 50%. Además de los macronutrientes, la solución de NP debe incluir electrolitos, vitaminas y elementos trazas de acuerdo a las necesidades de cada paciente.</w:t>
      </w:r>
      <w:r>
        <w:rPr>
          <w:rFonts w:ascii="Arial" w:hAnsi="Arial" w:cs="Arial"/>
          <w:sz w:val="24"/>
          <w:szCs w:val="24"/>
          <w:vertAlign w:val="superscript"/>
          <w:lang/>
        </w:rPr>
        <w:t>19</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El SN mixto consiste en la administración simultánea de NE y NP. Está indicada en aquellos pacientes que no alcanzan a cubrir sus demandas de energía y nutrientes sólo con NE; cuando el paciente es candidato a NP pero una mínima parte de su intestino es funcional, se recomienda NE para mantener el trofismo intestinal</w:t>
      </w:r>
      <w:r>
        <w:rPr>
          <w:rFonts w:ascii="Arial" w:hAnsi="Arial" w:cs="Arial"/>
          <w:sz w:val="24"/>
          <w:szCs w:val="24"/>
          <w:lang/>
        </w:rPr>
        <w:t>.</w:t>
      </w:r>
      <w:r>
        <w:rPr>
          <w:rFonts w:ascii="Arial" w:hAnsi="Arial" w:cs="Arial"/>
          <w:sz w:val="24"/>
          <w:szCs w:val="24"/>
          <w:vertAlign w:val="superscript"/>
          <w:lang/>
        </w:rPr>
        <w:t>19</w:t>
      </w:r>
    </w:p>
    <w:p w:rsidR="00222451" w:rsidRPr="00650A38" w:rsidRDefault="00222451" w:rsidP="00222451">
      <w:pPr>
        <w:spacing w:line="360" w:lineRule="auto"/>
        <w:jc w:val="both"/>
        <w:rPr>
          <w:rFonts w:ascii="Arial" w:hAnsi="Arial" w:cs="Arial"/>
          <w:sz w:val="24"/>
          <w:szCs w:val="24"/>
          <w:lang/>
        </w:rPr>
      </w:pPr>
    </w:p>
    <w:p w:rsidR="00222451" w:rsidRPr="00650A38" w:rsidRDefault="00222451" w:rsidP="00222451">
      <w:pPr>
        <w:spacing w:line="360" w:lineRule="auto"/>
        <w:jc w:val="both"/>
        <w:rPr>
          <w:rFonts w:ascii="Arial" w:hAnsi="Arial" w:cs="Arial"/>
          <w:sz w:val="24"/>
          <w:szCs w:val="24"/>
          <w:lang/>
        </w:rPr>
      </w:pPr>
      <w:r w:rsidRPr="00650A38">
        <w:rPr>
          <w:rFonts w:ascii="Arial" w:hAnsi="Arial" w:cs="Arial"/>
          <w:sz w:val="24"/>
          <w:szCs w:val="24"/>
          <w:lang/>
        </w:rPr>
        <w:t>Complicaciones del soporte nutricional en el paciente grave</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A pesar de sus beneficios, el SN no está exento de riesgos y efectos adversos. Las complicaciones tanto de la NE como de la NP se han agrupado en mecánicas, metabólicas, gastrointestinales e infecciosas.</w:t>
      </w:r>
      <w:r>
        <w:rPr>
          <w:rFonts w:ascii="Arial" w:hAnsi="Arial" w:cs="Arial"/>
          <w:sz w:val="24"/>
          <w:szCs w:val="24"/>
          <w:vertAlign w:val="superscript"/>
          <w:lang/>
        </w:rPr>
        <w:t>20</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Nutrición enteral: entre el 10 y 15% de los pacientes que reciben SNE pueden presentar algún tipo de complicación y en éstos, del 1 al 2% pueden ser graves. La mayoría son detectables, por lo tanto, corregibles y no ameritan la suspensión del SN</w:t>
      </w:r>
      <w:r>
        <w:rPr>
          <w:rFonts w:ascii="Arial" w:hAnsi="Arial" w:cs="Arial"/>
          <w:sz w:val="24"/>
          <w:szCs w:val="24"/>
          <w:lang/>
        </w:rPr>
        <w:t>.</w:t>
      </w:r>
      <w:r>
        <w:rPr>
          <w:rFonts w:ascii="Arial" w:hAnsi="Arial" w:cs="Arial"/>
          <w:sz w:val="24"/>
          <w:szCs w:val="24"/>
          <w:vertAlign w:val="superscript"/>
          <w:lang/>
        </w:rPr>
        <w:t>20</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Residuo gástrico alto: considerada como una de las complicaciones más frecuentes en los pacientes graves que reciben NE por vía gástrica, sin embargo, no hay acuerdo en la cantidad que se debe considerar como tal y se han propuestas cifras entre 60 y 300 ml. Algunos autores lo definen como un volumen residual mayor a 200 ml obtenidos en cada valoración gástrica, otros proponen un residuo con características alimentarias mayor a 150 ml. </w:t>
      </w:r>
      <w:r>
        <w:rPr>
          <w:rFonts w:ascii="Arial" w:hAnsi="Arial" w:cs="Arial"/>
          <w:sz w:val="24"/>
          <w:szCs w:val="24"/>
          <w:vertAlign w:val="superscript"/>
          <w:lang/>
        </w:rPr>
        <w:t>20</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La alta incidencia de esta complicación se ha atribuido entre otros factores a una alteración del vaciamiento gástrico por patologías previas, diagnóstico médico al </w:t>
      </w:r>
      <w:r w:rsidRPr="00650A38">
        <w:rPr>
          <w:rFonts w:ascii="Arial" w:hAnsi="Arial" w:cs="Arial"/>
          <w:sz w:val="24"/>
          <w:szCs w:val="24"/>
          <w:lang/>
        </w:rPr>
        <w:lastRenderedPageBreak/>
        <w:t xml:space="preserve">ingreso, alteraciones bioquímicas, uso de medicamentos y otros como ansiedad, dolor e infección. Cuando se presenta un aumento en el residuo gástrico, una de las medidas para su manejo es el retiro parcial de la NE, lo que finalmente conduce a una disminución del aporte de energía y nutrientes. </w:t>
      </w:r>
      <w:r>
        <w:rPr>
          <w:rFonts w:ascii="Arial" w:hAnsi="Arial" w:cs="Arial"/>
          <w:sz w:val="24"/>
          <w:szCs w:val="24"/>
          <w:vertAlign w:val="superscript"/>
          <w:lang/>
        </w:rPr>
        <w:t>20,21</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Para evitar esta situación, se recomienda utilizar para el tratamiento de las alteraciones en el vaciamiento gástrico, medicamentos procinéticos y vías de acceso transpilóricas. La detección y manejo oportuno del residuo gástrico alto en los pacientes que reciben SNE es importante también para disminuir al máximo la ocurrencia la neumonía secundaria a la aspiración de la alimentación</w:t>
      </w:r>
      <w:r>
        <w:rPr>
          <w:rFonts w:ascii="Arial" w:hAnsi="Arial" w:cs="Arial"/>
          <w:sz w:val="24"/>
          <w:szCs w:val="24"/>
          <w:lang/>
        </w:rPr>
        <w:t xml:space="preserve">. </w:t>
      </w:r>
      <w:r>
        <w:rPr>
          <w:rFonts w:ascii="Arial" w:hAnsi="Arial" w:cs="Arial"/>
          <w:sz w:val="24"/>
          <w:szCs w:val="24"/>
          <w:vertAlign w:val="superscript"/>
          <w:lang/>
        </w:rPr>
        <w:t>21</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Diarrea: se encuentran en la literatura diversas definiciones de la diarrea como complicación asociada al SNE en las que la definen como la presencia de cinco o más deposiciones líquidas en 24 horas o como la presencia de más de dos deposiciones de un volumen superior a 1000 cc/día. Las causas de la diarrea durante el SNE son múltiples: factores relacionados con la dieta, con la administración, causas infecciosas, medicamentos, patología de base. Aunque aún es generalizado el concepto de que la NE es el principal factor responsable de la diarrea</w:t>
      </w:r>
      <w:r>
        <w:rPr>
          <w:rFonts w:ascii="Arial" w:hAnsi="Arial" w:cs="Arial"/>
          <w:sz w:val="24"/>
          <w:szCs w:val="24"/>
          <w:lang/>
        </w:rPr>
        <w:t>.</w:t>
      </w:r>
      <w:r>
        <w:rPr>
          <w:rFonts w:ascii="Arial" w:hAnsi="Arial" w:cs="Arial"/>
          <w:sz w:val="24"/>
          <w:szCs w:val="24"/>
          <w:vertAlign w:val="superscript"/>
          <w:lang/>
        </w:rPr>
        <w:t>21</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Broncoaspiración: Se define como la presencia de secreciones de características similares a la dieta en el aspirado traqueal. Sin duda una de las complicaciones más graves del SNE es la neumonía por aspiración, la cual sucede entre 1 y 44%, asociándose especialmente al SNE intragástrico. Factores como la patología de base, la tolerancia a la NE, el calibre y localización de la punta de la sonda, la presencia de reflujo gastroesofágico y las medidas terapéuticas implementadas influyen en la incidencia de esta complicación.</w:t>
      </w:r>
      <w:r>
        <w:rPr>
          <w:rFonts w:ascii="Arial" w:hAnsi="Arial" w:cs="Arial"/>
          <w:sz w:val="24"/>
          <w:szCs w:val="24"/>
          <w:vertAlign w:val="superscript"/>
          <w:lang/>
        </w:rPr>
        <w:t>21</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En los últimos años se ha recomendado el acceso a yeyuno para disminuir su riesgo, sin embargo, varios estudios han demostrado que éste es similar tanto en pacientes con sondas nasoentéricas como de gastrostomías y yeyunostomías y que no hay diferencia significativa en la eficacia de la alimentación yeyunal versus la gástrica en pacientes graves. </w:t>
      </w:r>
      <w:r>
        <w:rPr>
          <w:rFonts w:ascii="Arial" w:hAnsi="Arial" w:cs="Arial"/>
          <w:sz w:val="24"/>
          <w:szCs w:val="24"/>
          <w:vertAlign w:val="superscript"/>
          <w:lang/>
        </w:rPr>
        <w:t>21</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lastRenderedPageBreak/>
        <w:t>La base del tratamiento continúa siendo la profilaxis, con instauración de medidas posturales como la elevación de la cabecera de la cama, comprobación de la existencia de retención gástrica, administración de la alimentación en infusión continua mediante bomba y uso de sondas de pequeño calibre. Por último, no se conoce ninguna forma de alimentación por sonda que evite el riesgo de broncoaspiración y una vez producida la misma, debe realizarse rápidamente la succión intratraqueal a ciegas y/o broncoscopia, así como la administración de oxígeno y antibióticos</w:t>
      </w:r>
      <w:r>
        <w:rPr>
          <w:rFonts w:ascii="Arial" w:hAnsi="Arial" w:cs="Arial"/>
          <w:sz w:val="24"/>
          <w:szCs w:val="24"/>
          <w:lang/>
        </w:rPr>
        <w:t xml:space="preserve">. </w:t>
      </w:r>
      <w:r>
        <w:rPr>
          <w:rFonts w:ascii="Arial" w:hAnsi="Arial" w:cs="Arial"/>
          <w:sz w:val="24"/>
          <w:szCs w:val="24"/>
          <w:vertAlign w:val="superscript"/>
          <w:lang/>
        </w:rPr>
        <w:t>21</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Hiperglicemia: se ha asociado a efectos negativos en los pacientes graves como aumento en el riesgo de infección, polineuropatías, disfunción multiorgánica y aumento en la mortalidad. Hasta hace poco los valores de glicemia tolerados en los pacientes graves eran inferiores a 215 mg/dLen las fases agudas, sin embargo, ante el mal pronóstico, los estudios de Van der Berher postulan que una terapia de insulina agresiva para mantener los niveles de glicemia no mayor de 110 mg/dl logra disminuir la mortalidad, la incidencia de hiperbilirrubinemia, bacteremia, neuropatías, necesidad de transfusiones y días de estancia hospitalaria.</w:t>
      </w:r>
      <w:r>
        <w:rPr>
          <w:rFonts w:ascii="Arial" w:hAnsi="Arial" w:cs="Arial"/>
          <w:sz w:val="24"/>
          <w:szCs w:val="24"/>
          <w:vertAlign w:val="superscript"/>
          <w:lang/>
        </w:rPr>
        <w:t>21,22</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 Aún no hay evidencia suficiente para recomendar el uso de altas dosis de insulina a todos los pacientes, sin embargo, estos resultados sugieren la necesidad de un control estricto de la glicemia. La NE puede ocasionar la aparición de la hiperglicemia o agravarla, es por lo tanto fundamental un riguroso monitoreo y si se presenta, seleccionar fórmulas enterales diseñadas para tal fin y/o recurrir a la terapia insulínica</w:t>
      </w:r>
      <w:r>
        <w:rPr>
          <w:rFonts w:ascii="Arial" w:hAnsi="Arial" w:cs="Arial"/>
          <w:sz w:val="24"/>
          <w:szCs w:val="24"/>
          <w:lang/>
        </w:rPr>
        <w:t>.</w:t>
      </w:r>
      <w:r>
        <w:rPr>
          <w:rFonts w:ascii="Arial" w:hAnsi="Arial" w:cs="Arial"/>
          <w:sz w:val="24"/>
          <w:szCs w:val="24"/>
          <w:vertAlign w:val="superscript"/>
          <w:lang/>
        </w:rPr>
        <w:t>22</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Autorretiro de la sonda: se refiere al retiro voluntario por parte del paciente de la sonda de nutrición enteral. Aunque es una situación frecuente, no se reporta en los estudios, tampoco es tratada a profundidad por los expertos sobre el tema. Es frecuente en niños, en pacientes con alteraciones neurológicas y en aquellos bajo el efecto de medicamentos como los opiáceos.</w:t>
      </w:r>
      <w:r>
        <w:rPr>
          <w:rFonts w:ascii="Arial" w:hAnsi="Arial" w:cs="Arial"/>
          <w:sz w:val="24"/>
          <w:szCs w:val="24"/>
          <w:vertAlign w:val="superscript"/>
          <w:lang/>
        </w:rPr>
        <w:t>22</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 Por la experiencia en el manejo de pacientes graves con SN, una de las consecuencias del autoretiro de la sonda es la suspensión temporal de la NE lo que conlleva a la disminución en el aporte de energía y nutrientes. El autoretiro implica </w:t>
      </w:r>
      <w:r w:rsidRPr="00650A38">
        <w:rPr>
          <w:rFonts w:ascii="Arial" w:hAnsi="Arial" w:cs="Arial"/>
          <w:sz w:val="24"/>
          <w:szCs w:val="24"/>
          <w:lang/>
        </w:rPr>
        <w:lastRenderedPageBreak/>
        <w:t>colocar de nuevo la sonda, con las molestias y riesgos que esto implica para el paciente; en algunas ocasiones es necesario incluso intentar otro abordaje</w:t>
      </w:r>
      <w:r>
        <w:rPr>
          <w:rFonts w:ascii="Arial" w:hAnsi="Arial" w:cs="Arial"/>
          <w:sz w:val="24"/>
          <w:szCs w:val="24"/>
          <w:lang/>
        </w:rPr>
        <w:t>.</w:t>
      </w:r>
      <w:r>
        <w:rPr>
          <w:rFonts w:ascii="Arial" w:hAnsi="Arial" w:cs="Arial"/>
          <w:sz w:val="24"/>
          <w:szCs w:val="24"/>
          <w:vertAlign w:val="superscript"/>
          <w:lang/>
        </w:rPr>
        <w:t>22</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Nutrición parenteral: a pesar de sus beneficios, las complicaciones relacionadas con la NP pueden afectar la calidad de vida e incrementar la mortalidad de los pacientes que la reciben. Las complicaciones mecánicas están relacionadas con la inserción y cuidado del catéter venoso central, las sépticas son el resultado de infecciones asociadas al catéter y las metabólicas se relacionan con la enfermedad hepática, ósea y con la alteración de cualquiera de los componentes de la NP</w:t>
      </w:r>
      <w:r>
        <w:rPr>
          <w:rFonts w:ascii="Arial" w:hAnsi="Arial" w:cs="Arial"/>
          <w:sz w:val="24"/>
          <w:szCs w:val="24"/>
          <w:lang/>
        </w:rPr>
        <w:t>.</w:t>
      </w:r>
      <w:r>
        <w:rPr>
          <w:rFonts w:ascii="Arial" w:hAnsi="Arial" w:cs="Arial"/>
          <w:sz w:val="24"/>
          <w:szCs w:val="24"/>
          <w:vertAlign w:val="superscript"/>
          <w:lang/>
        </w:rPr>
        <w:t>22</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Hipertrigliceridemia: el punto de corte para considerar elevación de los triglicéridos varía entre los autores, pero se acepta como valores &gt;400 mg/dL. El reporte de hipertrigliceridemia en los pacientes con NP según estudios multicéntricos está entre el 5,7% y el 26,2%. La alteración en el aclaramiento de los lípidos, el exceso de lípidos o dextrosa son los responsables de la hiperlipidemia inducida por NP. La obesidad, diabetes mellitus, sepsis, pancreatitis y enfermedad hepática predisponen a la hipertrigliceridemia debido a la disminución del aclaramiento de las grasas.</w:t>
      </w:r>
      <w:r>
        <w:rPr>
          <w:rFonts w:ascii="Arial" w:hAnsi="Arial" w:cs="Arial"/>
          <w:sz w:val="24"/>
          <w:szCs w:val="24"/>
          <w:vertAlign w:val="superscript"/>
          <w:lang/>
        </w:rPr>
        <w:t>22</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Esta complicación puede precipitar a su vez la pancreatitis aguda, especialmente cuando los valores en sangre exceden los 1000 mg/dL. Detectada esta complicación, lo primero a considerar es el aporte excesivo de carbohidratos, el cual debe reducirse, seguido de una disminución de los lípidos si la hiperlipidemia no logra corregirse. La infusión de lípidos no debe pasar de 0,12 g/Kg/h en pacientes graves o en quienes tengan alteración en el aclaramiento de los lípidos; otros autores proponen una dosis máxima de 1 g/Kg/día en este tipo de pacientes.</w:t>
      </w:r>
      <w:r>
        <w:rPr>
          <w:rFonts w:ascii="Arial" w:hAnsi="Arial" w:cs="Arial"/>
          <w:sz w:val="24"/>
          <w:szCs w:val="24"/>
          <w:vertAlign w:val="superscript"/>
          <w:lang/>
        </w:rPr>
        <w:t>22,23</w:t>
      </w:r>
    </w:p>
    <w:p w:rsidR="00222451" w:rsidRPr="00BD31E5"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La infusión continua de lípidos en 24 horas comparado con infusión cíclica ha sido asociada con mejoría en la oxidación de los lípidos, un mejor perfil de ácidos grasos y menos efectos deletéreos en el funcionamiento del sistema retículo endotelial. La infusión de lípidos debe suspenderse cuando los valores de triglicéridos excedan los 400 mg/dL, en cuyo caso podrían darse dos a tres veces por semana para prevenir la deficiencia de ácidos grasos esenciales.</w:t>
      </w:r>
      <w:r>
        <w:rPr>
          <w:rFonts w:ascii="Arial" w:hAnsi="Arial" w:cs="Arial"/>
          <w:sz w:val="24"/>
          <w:szCs w:val="24"/>
          <w:vertAlign w:val="superscript"/>
          <w:lang/>
        </w:rPr>
        <w:t>23</w:t>
      </w:r>
    </w:p>
    <w:p w:rsidR="00222451" w:rsidRPr="004556BC"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lastRenderedPageBreak/>
        <w:t xml:space="preserve">Colestasis y esteatosis: se puede presentar cuando se suministra NP por largo tiempo. Las anormalidades en las pruebas de función hepática han sido reportadas entre un 20 y 90% de los pacientes que reciben NP. La esteatosis hepática más común en adultos es la acumulación de grasa en los hepatocitos en forma de triglicéridos y ésteres de colesterol, mientras que la colestasis es más frecuente en niños y se define como una disminución o interrupción del flujo de bilis caracterizado por agrandamiento de los hepatocitos e hiperplasia de las células de Kupffer. </w:t>
      </w:r>
      <w:r>
        <w:rPr>
          <w:rFonts w:ascii="Arial" w:hAnsi="Arial" w:cs="Arial"/>
          <w:sz w:val="24"/>
          <w:szCs w:val="24"/>
          <w:vertAlign w:val="superscript"/>
          <w:lang/>
        </w:rPr>
        <w:t>23</w:t>
      </w:r>
    </w:p>
    <w:p w:rsidR="00222451" w:rsidRPr="004556BC"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Algunos autores han definido colestasis como fosfatasas alcalinas &gt; 380 UI/L o transaminasa glutámica &gt; 50 UI/L o bilirrubina &gt; 1,2 mg/dl. La patogénesis de la enfermedad hepática asociada a la NP es multifactorial. Para prevenir la colestasis por NP, se recomienda evitar el exceso energético, proveer la energía de forma balanceada, ciclar la NP, utilizar lípidos con triglicéridos de cadena media y larga, evitar la sepsis e iniciar la NE tan pronto como sea posible</w:t>
      </w:r>
      <w:r>
        <w:rPr>
          <w:rFonts w:ascii="Arial" w:hAnsi="Arial" w:cs="Arial"/>
          <w:sz w:val="24"/>
          <w:szCs w:val="24"/>
          <w:lang/>
        </w:rPr>
        <w:t>.</w:t>
      </w:r>
      <w:r>
        <w:rPr>
          <w:rFonts w:ascii="Arial" w:hAnsi="Arial" w:cs="Arial"/>
          <w:sz w:val="24"/>
          <w:szCs w:val="24"/>
          <w:vertAlign w:val="superscript"/>
          <w:lang/>
        </w:rPr>
        <w:t>23,24</w:t>
      </w:r>
    </w:p>
    <w:p w:rsidR="00222451" w:rsidRPr="004556BC"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Desequilibrios hidroelectrolíticos: la alteración de los electrolitos es una complicación común en pacientes que reciben NP. La hipernatremia se define como un valor plasmático &gt;145 mEq/L en cuyo caso el cloruro de sodio aportado en la NP debe suspenderse; la hiponatremia se presenta con valores menores a 135 mEq/L y es necesario reponer el déficit en la NP o restringirse su volumen entre 1.000 y 1.500 ml/día, excepto en pacientes hipovolémicos.</w:t>
      </w:r>
      <w:r>
        <w:rPr>
          <w:rFonts w:ascii="Arial" w:hAnsi="Arial" w:cs="Arial"/>
          <w:sz w:val="24"/>
          <w:szCs w:val="24"/>
          <w:vertAlign w:val="superscript"/>
          <w:lang/>
        </w:rPr>
        <w:t>24</w:t>
      </w:r>
    </w:p>
    <w:p w:rsidR="00222451" w:rsidRPr="004556BC"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 La hiperkalemia se presenta con valores superiores a 5mEq/L y es un trastorno que pone en peligro la vida del paciente por lo cual deben considerarse los aportes de cloruro y fosfato de potasio cuando se suministra NP. La hipokalemia, cifras inferiores a 3,5 mEq/L, es tan grave como la hiperkalemia y antes de iniciar el reemplazo es necesario identificar su causa. Para reponer el potasio en la NP se utilizan dos sales: cloruro y fosfato de potasio, teniendo en cuenta que la solución no debe aportar más de 20- 40 mEq/L.</w:t>
      </w:r>
      <w:r>
        <w:rPr>
          <w:rFonts w:ascii="Arial" w:hAnsi="Arial" w:cs="Arial"/>
          <w:sz w:val="24"/>
          <w:szCs w:val="24"/>
          <w:vertAlign w:val="superscript"/>
          <w:lang/>
        </w:rPr>
        <w:t>24</w:t>
      </w:r>
    </w:p>
    <w:p w:rsidR="00222451" w:rsidRPr="004556BC" w:rsidRDefault="00222451" w:rsidP="00222451">
      <w:pPr>
        <w:spacing w:line="360" w:lineRule="auto"/>
        <w:jc w:val="both"/>
        <w:rPr>
          <w:rFonts w:ascii="Arial" w:hAnsi="Arial" w:cs="Arial"/>
          <w:sz w:val="24"/>
          <w:szCs w:val="24"/>
          <w:vertAlign w:val="superscript"/>
          <w:lang/>
        </w:rPr>
      </w:pPr>
      <w:r w:rsidRPr="00650A38">
        <w:rPr>
          <w:rFonts w:ascii="Arial" w:hAnsi="Arial" w:cs="Arial"/>
          <w:sz w:val="24"/>
          <w:szCs w:val="24"/>
          <w:lang/>
        </w:rPr>
        <w:t xml:space="preserve"> La hipercalcemia se presenta con valores superiores a 10,5mg/dL o un calcio ionizado mayor a 5,0 mg/dL, la hipocalcemia con cifras menores a 8,5 mg/dL o un calcio ionizado menor de 4,0mg/dl. Si ésta última es severa y sintomática se utiliza gluconato o cloruro de calcio de manera intravenosa, sino es grave, se repone vía oral o se puede </w:t>
      </w:r>
      <w:r w:rsidRPr="00650A38">
        <w:rPr>
          <w:rFonts w:ascii="Arial" w:hAnsi="Arial" w:cs="Arial"/>
          <w:sz w:val="24"/>
          <w:szCs w:val="24"/>
          <w:lang/>
        </w:rPr>
        <w:lastRenderedPageBreak/>
        <w:t>suministrar en la NP en forma de gluconato que aporta 90 mg de calcio elemental por ampolla de 10 cc teniendo en cuenta que debe corregirse según el valor de albúmina.</w:t>
      </w:r>
      <w:r>
        <w:rPr>
          <w:rFonts w:ascii="Arial" w:hAnsi="Arial" w:cs="Arial"/>
          <w:sz w:val="24"/>
          <w:szCs w:val="24"/>
          <w:vertAlign w:val="superscript"/>
          <w:lang/>
        </w:rPr>
        <w:t>24</w:t>
      </w:r>
    </w:p>
    <w:p w:rsidR="00222451" w:rsidRDefault="00222451" w:rsidP="00222451">
      <w:pPr>
        <w:spacing w:line="360" w:lineRule="auto"/>
        <w:jc w:val="both"/>
        <w:rPr>
          <w:rFonts w:ascii="Arial" w:hAnsi="Arial" w:cs="Arial"/>
          <w:sz w:val="24"/>
          <w:szCs w:val="24"/>
          <w:lang/>
        </w:rPr>
      </w:pPr>
      <w:r w:rsidRPr="00650A38">
        <w:rPr>
          <w:rFonts w:ascii="Arial" w:hAnsi="Arial" w:cs="Arial"/>
          <w:sz w:val="24"/>
          <w:szCs w:val="24"/>
          <w:lang/>
        </w:rPr>
        <w:t xml:space="preserve"> Finalmente, la hiperfosfatemia se presenta cuando las cifras de fósforo sérico son superiores a 5,0 mg/dl; en los pacientes que reciban NP debe considerarse el aporte que es de 15 mmol por cada 5 cc de fosfato de potasio; la hipofosfatemia (fósforo &lt;2,5 mg/dl) se presenta hasta en un 28% de los enfermos graves, principalmente aquellos con traumatismo trastornos respiratorios o enfermedades infecciosas. El aporte de fósforo en la NP en adultos se recomienda entre 20 y 40 mg/Kg/día, y se debe suministrar de forma temprana en presencia de cetoacidosis diabética y en pacientes graves</w:t>
      </w:r>
      <w:r>
        <w:rPr>
          <w:rFonts w:ascii="Arial" w:hAnsi="Arial" w:cs="Arial"/>
          <w:sz w:val="24"/>
          <w:szCs w:val="24"/>
          <w:lang/>
        </w:rPr>
        <w:t>.</w:t>
      </w:r>
      <w:r>
        <w:rPr>
          <w:rFonts w:ascii="Arial" w:hAnsi="Arial" w:cs="Arial"/>
          <w:sz w:val="24"/>
          <w:szCs w:val="24"/>
          <w:vertAlign w:val="superscript"/>
          <w:lang/>
        </w:rPr>
        <w:t>24</w:t>
      </w: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Pr="00266F7C" w:rsidRDefault="00222451" w:rsidP="00222451">
      <w:pPr>
        <w:spacing w:line="360" w:lineRule="auto"/>
        <w:jc w:val="both"/>
        <w:rPr>
          <w:rFonts w:ascii="Arial" w:hAnsi="Arial" w:cs="Arial"/>
          <w:b/>
          <w:bCs/>
          <w:sz w:val="24"/>
          <w:szCs w:val="24"/>
          <w:lang/>
        </w:rPr>
      </w:pPr>
      <w:r w:rsidRPr="00266F7C">
        <w:rPr>
          <w:rFonts w:ascii="Arial" w:hAnsi="Arial" w:cs="Arial"/>
          <w:b/>
          <w:bCs/>
          <w:sz w:val="24"/>
          <w:szCs w:val="24"/>
          <w:lang/>
        </w:rPr>
        <w:t xml:space="preserve">Conclusiones: </w:t>
      </w:r>
    </w:p>
    <w:p w:rsidR="00222451" w:rsidRDefault="00222451" w:rsidP="00222451">
      <w:pPr>
        <w:spacing w:line="360" w:lineRule="auto"/>
        <w:jc w:val="both"/>
        <w:rPr>
          <w:rFonts w:ascii="Arial" w:hAnsi="Arial" w:cs="Arial"/>
          <w:sz w:val="24"/>
          <w:szCs w:val="24"/>
          <w:lang/>
        </w:rPr>
      </w:pPr>
      <w:r w:rsidRPr="009E2315">
        <w:rPr>
          <w:rFonts w:ascii="Arial" w:hAnsi="Arial" w:cs="Arial"/>
          <w:sz w:val="24"/>
          <w:szCs w:val="24"/>
          <w:lang/>
        </w:rPr>
        <w:t>La terapia nutricional tiene una importancia crucial para nuestra capacidad de manejar enfermedades en general</w:t>
      </w:r>
      <w:r>
        <w:rPr>
          <w:rFonts w:ascii="Arial" w:hAnsi="Arial" w:cs="Arial"/>
          <w:sz w:val="24"/>
          <w:szCs w:val="24"/>
          <w:lang/>
        </w:rPr>
        <w:t xml:space="preserve">, </w:t>
      </w:r>
      <w:r w:rsidRPr="009E2315">
        <w:rPr>
          <w:rFonts w:ascii="Arial" w:hAnsi="Arial" w:cs="Arial"/>
          <w:sz w:val="24"/>
          <w:szCs w:val="24"/>
          <w:lang/>
        </w:rPr>
        <w:t xml:space="preserve">infecciones, cirugías y traumatismo, en particular. El objeto de la terapia nutricional en estos pacientes es de mantener o mejorar el estado nutricional y evitar y tratar la malnutrición al mantener el tejido corporal, activar las reservas de proteínas plasmáticas y prevenir la deficiencia de macro y micronutrientes.El aporte nutricional puede realizarse bien por vía oral (suplementos nutricionales orales), a través de una sonda digestiva (nutrición enteral) o bien, cuando no puede usarse el aparato digestivo, a través de un catéter intravenoso que se inserta directamente en las venas (nutrición parenteral).El tipo de terapia nutricional depende </w:t>
      </w:r>
      <w:r w:rsidRPr="009E2315">
        <w:rPr>
          <w:rFonts w:ascii="Arial" w:hAnsi="Arial" w:cs="Arial"/>
          <w:sz w:val="24"/>
          <w:szCs w:val="24"/>
          <w:lang/>
        </w:rPr>
        <w:lastRenderedPageBreak/>
        <w:t xml:space="preserve">en gran medida del estado de los pacientes, de su enfermedad y sus necesidades. </w:t>
      </w:r>
      <w:r>
        <w:rPr>
          <w:rFonts w:ascii="Arial" w:hAnsi="Arial" w:cs="Arial"/>
          <w:sz w:val="24"/>
          <w:szCs w:val="24"/>
          <w:lang/>
        </w:rPr>
        <w:t>L</w:t>
      </w:r>
      <w:r w:rsidRPr="009E2315">
        <w:rPr>
          <w:rFonts w:ascii="Arial" w:hAnsi="Arial" w:cs="Arial"/>
          <w:sz w:val="24"/>
          <w:szCs w:val="24"/>
          <w:lang/>
        </w:rPr>
        <w:t>os requisitos nutricionales del paciente tras cirugía no son iguales a los de pacientes en UCI y son diferentes a los de pacientes sometido un tratamiento anticanceroso o a diálisis crónica.En fin, el aporte nutricional es imprescindible para cualquier enfermo, pero primordial para el paciente crítico, ya que le déficit energético en estos pacientes se puede asociar a un aumento de su morbimortalidad.</w:t>
      </w: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p>
    <w:p w:rsidR="00222451" w:rsidRDefault="00222451" w:rsidP="00222451">
      <w:pPr>
        <w:spacing w:line="360" w:lineRule="auto"/>
        <w:jc w:val="both"/>
        <w:rPr>
          <w:rFonts w:ascii="Arial" w:hAnsi="Arial" w:cs="Arial"/>
          <w:sz w:val="24"/>
          <w:szCs w:val="24"/>
          <w:lang/>
        </w:rPr>
      </w:pPr>
      <w:r>
        <w:rPr>
          <w:rFonts w:ascii="Arial" w:hAnsi="Arial" w:cs="Arial"/>
          <w:sz w:val="24"/>
          <w:szCs w:val="24"/>
          <w:lang/>
        </w:rPr>
        <w:t xml:space="preserve">Referencias Bibliográficas: </w:t>
      </w:r>
    </w:p>
    <w:p w:rsidR="00222451" w:rsidRPr="00266F7C"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2256C8">
        <w:rPr>
          <w:rFonts w:ascii="Arial" w:hAnsi="Arial" w:cs="Arial"/>
          <w:sz w:val="24"/>
          <w:szCs w:val="24"/>
          <w:lang/>
        </w:rPr>
        <w:t>Agoney E, Soriano E. Macronutrientes en desnutrición. Equipo Nutre [</w:t>
      </w:r>
      <w:r>
        <w:rPr>
          <w:rFonts w:ascii="Arial" w:hAnsi="Arial" w:cs="Arial"/>
          <w:sz w:val="24"/>
          <w:szCs w:val="24"/>
          <w:lang/>
        </w:rPr>
        <w:t>Internet</w:t>
      </w:r>
      <w:r w:rsidRPr="002256C8">
        <w:rPr>
          <w:rFonts w:ascii="Arial" w:hAnsi="Arial" w:cs="Arial"/>
          <w:sz w:val="24"/>
          <w:szCs w:val="24"/>
          <w:lang/>
        </w:rPr>
        <w:t xml:space="preserve">]. 2021. Octubre [Citado: 2022 marzo 7]; 3(2): [27 p.]. </w:t>
      </w:r>
      <w:r w:rsidRPr="00266F7C">
        <w:rPr>
          <w:rFonts w:ascii="Arial" w:hAnsi="Arial" w:cs="Arial"/>
          <w:sz w:val="24"/>
          <w:szCs w:val="24"/>
          <w:lang/>
        </w:rPr>
        <w:t xml:space="preserve">Disponible en: </w:t>
      </w:r>
      <w:hyperlink r:id="rId9" w:history="1">
        <w:r w:rsidRPr="00266F7C">
          <w:rPr>
            <w:rStyle w:val="Hipervnculo"/>
            <w:rFonts w:ascii="Arial" w:hAnsi="Arial" w:cs="Arial"/>
            <w:sz w:val="24"/>
            <w:szCs w:val="24"/>
            <w:lang/>
          </w:rPr>
          <w:t>http://www.nutrehopteam.chos/&amp;00_re327./alver762122:075_77qarte.htm</w:t>
        </w:r>
      </w:hyperlink>
    </w:p>
    <w:p w:rsidR="00222451" w:rsidRPr="002256C8" w:rsidRDefault="00222451" w:rsidP="00222451">
      <w:pPr>
        <w:pStyle w:val="Prrafodelista"/>
        <w:numPr>
          <w:ilvl w:val="0"/>
          <w:numId w:val="3"/>
        </w:numPr>
        <w:spacing w:after="0" w:line="360" w:lineRule="auto"/>
        <w:jc w:val="both"/>
        <w:rPr>
          <w:rFonts w:ascii="Arial" w:hAnsi="Arial" w:cs="Arial"/>
          <w:sz w:val="24"/>
          <w:szCs w:val="24"/>
          <w:lang/>
        </w:rPr>
      </w:pPr>
      <w:r w:rsidRPr="002256C8">
        <w:rPr>
          <w:rFonts w:ascii="Arial" w:hAnsi="Arial" w:cs="Arial"/>
          <w:sz w:val="24"/>
          <w:szCs w:val="24"/>
          <w:lang/>
        </w:rPr>
        <w:t>Acosta J, Gómez-Tello V. y Ruiz S. Valoración del estado nutricional en el paciente grave. Nutrición Hospitalaria [</w:t>
      </w:r>
      <w:r>
        <w:rPr>
          <w:rFonts w:ascii="Arial" w:hAnsi="Arial" w:cs="Arial"/>
          <w:sz w:val="24"/>
          <w:szCs w:val="24"/>
          <w:lang/>
        </w:rPr>
        <w:t>Internet</w:t>
      </w:r>
      <w:r w:rsidRPr="002256C8">
        <w:rPr>
          <w:rFonts w:ascii="Arial" w:hAnsi="Arial" w:cs="Arial"/>
          <w:sz w:val="24"/>
          <w:szCs w:val="24"/>
          <w:lang/>
        </w:rPr>
        <w:t xml:space="preserve">]. 2019. Octubre [Citado: 2022 marzo 7]; 20(2): [8 p.]. Disponible en: </w:t>
      </w:r>
      <w:hyperlink r:id="rId10" w:history="1">
        <w:r w:rsidRPr="002256C8">
          <w:rPr>
            <w:rStyle w:val="Hipervnculo"/>
            <w:rFonts w:ascii="Arial" w:hAnsi="Arial" w:cs="Arial"/>
            <w:sz w:val="24"/>
            <w:szCs w:val="24"/>
            <w:lang/>
          </w:rPr>
          <w:t>http://www.nutrihop.esp/madrid_oms/23techos/doc_78.htm</w:t>
        </w:r>
      </w:hyperlink>
    </w:p>
    <w:p w:rsidR="00222451" w:rsidRDefault="00222451" w:rsidP="00222451">
      <w:pPr>
        <w:pStyle w:val="Prrafodelista"/>
        <w:numPr>
          <w:ilvl w:val="0"/>
          <w:numId w:val="3"/>
        </w:numPr>
        <w:spacing w:after="0" w:line="360" w:lineRule="auto"/>
        <w:jc w:val="both"/>
        <w:rPr>
          <w:rFonts w:ascii="Arial" w:hAnsi="Arial" w:cs="Arial"/>
          <w:sz w:val="24"/>
          <w:szCs w:val="24"/>
          <w:lang/>
        </w:rPr>
      </w:pPr>
      <w:r w:rsidRPr="002256C8">
        <w:rPr>
          <w:rFonts w:ascii="Arial" w:hAnsi="Arial" w:cs="Arial"/>
          <w:sz w:val="24"/>
          <w:szCs w:val="24"/>
          <w:lang/>
        </w:rPr>
        <w:lastRenderedPageBreak/>
        <w:t>Fernández J, Ordóñez J. y Blesa A. Soporte nutricional del paciente crítico: ¿a quién, ¿cómo y cuándo?Nutrición Hospitalaria [en línea]. 2019. Octubre [Citado: 2022 marzo 7]; 20(5): [12 p.]. Disponible en:</w:t>
      </w:r>
      <w:hyperlink r:id="rId11" w:history="1">
        <w:r w:rsidRPr="002256C8">
          <w:rPr>
            <w:rStyle w:val="Hipervnculo"/>
            <w:rFonts w:ascii="Arial" w:hAnsi="Arial" w:cs="Arial"/>
            <w:sz w:val="24"/>
            <w:szCs w:val="24"/>
            <w:lang/>
          </w:rPr>
          <w:t>http://www.nutrihop.esp/madrid_oms/098techos/&amp;7001278/doc_5670%&amp;.htm</w:t>
        </w:r>
      </w:hyperlink>
    </w:p>
    <w:p w:rsidR="00222451" w:rsidRDefault="00222451" w:rsidP="00222451">
      <w:pPr>
        <w:pStyle w:val="Prrafodelista"/>
        <w:numPr>
          <w:ilvl w:val="0"/>
          <w:numId w:val="3"/>
        </w:numPr>
        <w:spacing w:after="0" w:line="360" w:lineRule="auto"/>
        <w:jc w:val="both"/>
        <w:rPr>
          <w:rFonts w:ascii="Arial" w:hAnsi="Arial" w:cs="Arial"/>
          <w:sz w:val="24"/>
          <w:szCs w:val="24"/>
          <w:lang/>
        </w:rPr>
      </w:pPr>
      <w:r w:rsidRPr="002256C8">
        <w:rPr>
          <w:rFonts w:ascii="Arial" w:hAnsi="Arial" w:cs="Arial"/>
          <w:sz w:val="24"/>
          <w:szCs w:val="24"/>
          <w:lang/>
        </w:rPr>
        <w:t xml:space="preserve"> Montejo JC, Culebras-Fernández JM. y García A. Recomendaciones para la valoración nutricional del paciente crítico. Rev Méd Chile [en línea] 2020. Enero [Citado: 2022 marzo 7]; (95): [1056 pp.] Disponible en:</w:t>
      </w:r>
      <w:hyperlink r:id="rId12" w:history="1">
        <w:r w:rsidRPr="002256C8">
          <w:rPr>
            <w:rStyle w:val="Hipervnculo"/>
            <w:rFonts w:ascii="Arial" w:hAnsi="Arial" w:cs="Arial"/>
            <w:sz w:val="24"/>
            <w:szCs w:val="24"/>
            <w:lang/>
          </w:rPr>
          <w:t>http://www.revmedhile.alat/porasd/lkill_56091&amp;/doc_000002122.es</w:t>
        </w:r>
      </w:hyperlink>
    </w:p>
    <w:p w:rsidR="00222451" w:rsidRDefault="00222451" w:rsidP="00222451">
      <w:pPr>
        <w:pStyle w:val="Prrafodelista"/>
        <w:numPr>
          <w:ilvl w:val="0"/>
          <w:numId w:val="3"/>
        </w:numPr>
        <w:spacing w:after="0" w:line="360" w:lineRule="auto"/>
        <w:jc w:val="both"/>
        <w:rPr>
          <w:rFonts w:ascii="Arial" w:hAnsi="Arial" w:cs="Arial"/>
          <w:sz w:val="24"/>
          <w:szCs w:val="24"/>
          <w:lang/>
        </w:rPr>
      </w:pPr>
      <w:r w:rsidRPr="00B31415">
        <w:rPr>
          <w:rFonts w:ascii="Arial" w:hAnsi="Arial" w:cs="Arial"/>
          <w:sz w:val="24"/>
          <w:szCs w:val="24"/>
          <w:lang/>
        </w:rPr>
        <w:t>Carrillo R., Márquez MP. y Peña CA. Terapia nutricional en el enfermo grave</w:t>
      </w:r>
      <w:r>
        <w:rPr>
          <w:rFonts w:ascii="Arial" w:hAnsi="Arial" w:cs="Arial"/>
          <w:sz w:val="24"/>
          <w:szCs w:val="24"/>
          <w:lang/>
        </w:rPr>
        <w:t xml:space="preserve">. </w:t>
      </w:r>
      <w:r w:rsidRPr="00B31415">
        <w:rPr>
          <w:rFonts w:ascii="Arial" w:hAnsi="Arial" w:cs="Arial"/>
          <w:sz w:val="24"/>
          <w:szCs w:val="24"/>
          <w:lang/>
        </w:rPr>
        <w:t>México Alfil, S. A; [</w:t>
      </w:r>
      <w:r>
        <w:rPr>
          <w:rFonts w:ascii="Arial" w:hAnsi="Arial" w:cs="Arial"/>
          <w:sz w:val="24"/>
          <w:szCs w:val="24"/>
          <w:lang/>
        </w:rPr>
        <w:t>Internet</w:t>
      </w:r>
      <w:r w:rsidRPr="00B31415">
        <w:rPr>
          <w:rFonts w:ascii="Arial" w:hAnsi="Arial" w:cs="Arial"/>
          <w:sz w:val="24"/>
          <w:szCs w:val="24"/>
          <w:lang/>
        </w:rPr>
        <w:t>].2018. Citado: 2022 marzo 7]. Disponible en</w:t>
      </w:r>
      <w:r>
        <w:rPr>
          <w:rFonts w:ascii="Arial" w:hAnsi="Arial" w:cs="Arial"/>
          <w:sz w:val="24"/>
          <w:szCs w:val="24"/>
          <w:lang/>
        </w:rPr>
        <w:t xml:space="preserve">: </w:t>
      </w:r>
      <w:hyperlink r:id="rId13" w:anchor="v=onepage&amp;q&amp;f=aslemmexx/000221109.htm" w:history="1">
        <w:r w:rsidRPr="00B31415">
          <w:rPr>
            <w:rStyle w:val="Hipervnculo"/>
            <w:rFonts w:ascii="Arial" w:hAnsi="Arial" w:cs="Arial"/>
            <w:sz w:val="24"/>
            <w:szCs w:val="24"/>
            <w:lang/>
          </w:rPr>
          <w:t>http://books.google.com.pe/books?id=ntsec=frontcover&amp;_ge_summary_r&amp;cad=0#v=onepage&amp;q&amp;f=aslemmexx/000221109.htm</w:t>
        </w:r>
      </w:hyperlink>
    </w:p>
    <w:p w:rsidR="00222451" w:rsidRDefault="00222451" w:rsidP="00222451">
      <w:pPr>
        <w:pStyle w:val="Prrafodelista"/>
        <w:numPr>
          <w:ilvl w:val="0"/>
          <w:numId w:val="3"/>
        </w:numPr>
        <w:spacing w:after="0" w:line="360" w:lineRule="auto"/>
        <w:jc w:val="both"/>
        <w:rPr>
          <w:rFonts w:ascii="Arial" w:hAnsi="Arial" w:cs="Arial"/>
          <w:sz w:val="24"/>
          <w:szCs w:val="24"/>
          <w:lang/>
        </w:rPr>
      </w:pPr>
      <w:r w:rsidRPr="00B31415">
        <w:rPr>
          <w:rFonts w:ascii="Arial" w:hAnsi="Arial" w:cs="Arial"/>
          <w:sz w:val="24"/>
          <w:szCs w:val="24"/>
          <w:lang/>
        </w:rPr>
        <w:t xml:space="preserve">Mora P, Gómez S. y Alto E. Nutrición Parenteral. Nutrición Global [en línea]. 2021. Octubre [Citado: 2022 marzo 7]; 3(9): [18 p.]. Disponible en: </w:t>
      </w:r>
      <w:hyperlink r:id="rId14" w:history="1">
        <w:r w:rsidRPr="00B31415">
          <w:rPr>
            <w:rStyle w:val="Hipervnculo"/>
            <w:rFonts w:ascii="Arial" w:hAnsi="Arial" w:cs="Arial"/>
            <w:sz w:val="24"/>
            <w:szCs w:val="24"/>
            <w:lang/>
          </w:rPr>
          <w:t>http://www.nutglob.mx/D.F_oms/00934t/s&amp;53gitds/doc_t543dgyui.htm</w:t>
        </w:r>
      </w:hyperlink>
    </w:p>
    <w:p w:rsidR="00222451" w:rsidRPr="00B3141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B31415">
        <w:rPr>
          <w:rFonts w:ascii="Arial" w:hAnsi="Arial" w:cs="Arial"/>
          <w:sz w:val="24"/>
          <w:szCs w:val="24"/>
          <w:lang/>
        </w:rPr>
        <w:t>Coubre FG, Fernández AS. y Salvador Q. Nutrición Enteral en pacientes en cuidados intensivos. Rev Méd Nutrilove [en línea] 2021. Enero [Citado: 2022 marzo 7]; (23): [178 pp.] Disponible en:</w:t>
      </w:r>
      <w:hyperlink r:id="rId15" w:history="1">
        <w:r w:rsidRPr="00B31415">
          <w:rPr>
            <w:rStyle w:val="Hipervnculo"/>
            <w:rFonts w:ascii="Arial" w:hAnsi="Arial" w:cs="Arial"/>
            <w:sz w:val="24"/>
            <w:szCs w:val="24"/>
            <w:lang/>
          </w:rPr>
          <w:t>http://www.revnutrivlo.novact/pgepilet/lestipldvre_56091&amp;/doc_00000567902.es</w:t>
        </w:r>
      </w:hyperlink>
    </w:p>
    <w:p w:rsidR="00222451" w:rsidRPr="00B3141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B31415">
        <w:rPr>
          <w:rFonts w:ascii="Arial" w:hAnsi="Arial" w:cs="Arial"/>
          <w:sz w:val="24"/>
          <w:szCs w:val="24"/>
          <w:lang/>
        </w:rPr>
        <w:t xml:space="preserve"> Flores LR, Sevillo PY. y Estrese I. Desnutrición en cuidados intensivos. Rev Metabolismo [</w:t>
      </w:r>
      <w:r>
        <w:rPr>
          <w:rFonts w:ascii="Arial" w:hAnsi="Arial" w:cs="Arial"/>
          <w:sz w:val="24"/>
          <w:szCs w:val="24"/>
          <w:lang/>
        </w:rPr>
        <w:t>Internet</w:t>
      </w:r>
      <w:r w:rsidRPr="00B31415">
        <w:rPr>
          <w:rFonts w:ascii="Arial" w:hAnsi="Arial" w:cs="Arial"/>
          <w:sz w:val="24"/>
          <w:szCs w:val="24"/>
          <w:lang/>
        </w:rPr>
        <w:t>] 2019. Enero [Citado: 2022 marzo 7]; (6): [98 pp.] Disponible en:</w:t>
      </w:r>
      <w:hyperlink r:id="rId16" w:history="1">
        <w:r w:rsidRPr="00B31415">
          <w:rPr>
            <w:rStyle w:val="Hipervnculo"/>
            <w:rFonts w:ascii="Arial" w:hAnsi="Arial" w:cs="Arial"/>
            <w:sz w:val="24"/>
            <w:szCs w:val="24"/>
            <w:lang/>
          </w:rPr>
          <w:t>http://www.revmetb.gener/metabolismo/etapaped_7800&amp;/doc_000029071212.es</w:t>
        </w:r>
      </w:hyperlink>
    </w:p>
    <w:p w:rsidR="00222451" w:rsidRPr="00B3141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B31415">
        <w:rPr>
          <w:rFonts w:ascii="Arial" w:hAnsi="Arial" w:cs="Arial"/>
          <w:sz w:val="24"/>
          <w:szCs w:val="24"/>
          <w:lang/>
        </w:rPr>
        <w:t>Dilop A, Pileta A. y Delgado C. Requerimientos en pacientes graves. Rev Med Live [</w:t>
      </w:r>
      <w:r>
        <w:rPr>
          <w:rFonts w:ascii="Arial" w:hAnsi="Arial" w:cs="Arial"/>
          <w:sz w:val="24"/>
          <w:szCs w:val="24"/>
          <w:lang/>
        </w:rPr>
        <w:t>Internet</w:t>
      </w:r>
      <w:r w:rsidRPr="00B31415">
        <w:rPr>
          <w:rFonts w:ascii="Arial" w:hAnsi="Arial" w:cs="Arial"/>
          <w:sz w:val="24"/>
          <w:szCs w:val="24"/>
          <w:lang/>
        </w:rPr>
        <w:t>]. 2021. Febrero [Citado: 2022 marzo 7]; 2(9): [88 p.]. Disponible en:</w:t>
      </w:r>
      <w:hyperlink r:id="rId17" w:history="1">
        <w:r w:rsidRPr="00B31415">
          <w:rPr>
            <w:rStyle w:val="Hipervnculo"/>
            <w:rFonts w:ascii="Arial" w:hAnsi="Arial" w:cs="Arial"/>
            <w:sz w:val="24"/>
            <w:szCs w:val="24"/>
            <w:lang/>
          </w:rPr>
          <w:t>http://www.livepubmed.esp/madrid_oms/44retc/00-5600.66&amp;/htm</w:t>
        </w:r>
      </w:hyperlink>
    </w:p>
    <w:p w:rsidR="00222451" w:rsidRPr="00B3141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B31415">
        <w:rPr>
          <w:rFonts w:ascii="Arial" w:hAnsi="Arial" w:cs="Arial"/>
          <w:sz w:val="24"/>
          <w:szCs w:val="24"/>
          <w:lang/>
        </w:rPr>
        <w:t xml:space="preserve">Gé G, Gé I. y Del Valle J. Nutrición del paciente crítico. Nutrición Hospitalaria [en línea]. 2021. Abril [Citado: 2022 marzo 7]; 10(18): [19 p.]. </w:t>
      </w:r>
      <w:r w:rsidRPr="00266F7C">
        <w:rPr>
          <w:rFonts w:ascii="Arial" w:hAnsi="Arial" w:cs="Arial"/>
          <w:sz w:val="24"/>
          <w:szCs w:val="24"/>
          <w:lang/>
        </w:rPr>
        <w:t xml:space="preserve">Disponible en: </w:t>
      </w:r>
      <w:hyperlink r:id="rId18" w:history="1">
        <w:r w:rsidRPr="00266F7C">
          <w:rPr>
            <w:rStyle w:val="Hipervnculo"/>
            <w:rFonts w:ascii="Arial" w:hAnsi="Arial" w:cs="Arial"/>
            <w:sz w:val="24"/>
            <w:szCs w:val="24"/>
            <w:lang/>
          </w:rPr>
          <w:t>http://www.nutrihosp.vd/181021_00%&amp;/aswre009tam/thhm</w:t>
        </w:r>
      </w:hyperlink>
    </w:p>
    <w:p w:rsidR="00222451" w:rsidRPr="00B3141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B31415">
        <w:rPr>
          <w:rFonts w:ascii="Arial" w:hAnsi="Arial" w:cs="Arial"/>
          <w:sz w:val="24"/>
          <w:szCs w:val="24"/>
        </w:rPr>
        <w:t xml:space="preserve">McClave SA, Taylor BE, Martindale RG, et al. Guidelines for the provision and assessment of nutrition support therapy in the adult critically ill patient: Society of Critical Care Medicine (SCCM) and American Society for Parenteral and Enteral </w:t>
      </w:r>
      <w:r w:rsidRPr="00B31415">
        <w:rPr>
          <w:rFonts w:ascii="Arial" w:hAnsi="Arial" w:cs="Arial"/>
          <w:sz w:val="24"/>
          <w:szCs w:val="24"/>
        </w:rPr>
        <w:lastRenderedPageBreak/>
        <w:t xml:space="preserve">Nutrition (ASPEN). </w:t>
      </w:r>
      <w:r w:rsidRPr="00B31415">
        <w:rPr>
          <w:rFonts w:ascii="Arial" w:hAnsi="Arial" w:cs="Arial"/>
          <w:sz w:val="24"/>
          <w:szCs w:val="24"/>
          <w:lang/>
        </w:rPr>
        <w:t>JPEN J Parenter Enteral Nutr. [Internet]. 201</w:t>
      </w:r>
      <w:r>
        <w:rPr>
          <w:rFonts w:ascii="Arial" w:hAnsi="Arial" w:cs="Arial"/>
          <w:sz w:val="24"/>
          <w:szCs w:val="24"/>
          <w:lang/>
        </w:rPr>
        <w:t xml:space="preserve">9 </w:t>
      </w:r>
      <w:r w:rsidRPr="00B31415">
        <w:rPr>
          <w:rFonts w:ascii="Arial" w:hAnsi="Arial" w:cs="Arial"/>
          <w:sz w:val="24"/>
          <w:szCs w:val="24"/>
          <w:lang/>
        </w:rPr>
        <w:t xml:space="preserve">[citado 2 de febrero 2022]; 40(2):159-211. Disponible en: </w:t>
      </w:r>
      <w:hyperlink r:id="rId19" w:history="1">
        <w:r w:rsidRPr="00B31415">
          <w:rPr>
            <w:rStyle w:val="Hipervnculo"/>
            <w:rFonts w:ascii="Arial" w:hAnsi="Arial" w:cs="Arial"/>
            <w:sz w:val="24"/>
            <w:szCs w:val="24"/>
            <w:lang/>
          </w:rPr>
          <w:t>https://www.pubmed.ncbi.nlm.nih.gov/26773077</w:t>
        </w:r>
      </w:hyperlink>
    </w:p>
    <w:p w:rsidR="00222451" w:rsidRPr="006472C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B31415">
        <w:rPr>
          <w:rFonts w:ascii="Arial" w:hAnsi="Arial" w:cs="Arial"/>
          <w:sz w:val="24"/>
          <w:szCs w:val="24"/>
          <w:lang/>
        </w:rPr>
        <w:t xml:space="preserve">Camblor AM, Ocón BM, Luengo PL, Virizuela J, Sendrós MM, Cervera PM et al. Soporte nutricional y nutrición parenteral en el paciente oncológico: informe de consenso de un grupo de expertos. Endocrinología, Diabetes y Nutrición [Internet]. 2018 [citado 2 de febrero 2022]; 65 (Supl. 1): 17-23. Disponible en: </w:t>
      </w:r>
      <w:hyperlink r:id="rId20" w:history="1">
        <w:r w:rsidRPr="00B31415">
          <w:rPr>
            <w:rStyle w:val="Hipervnculo"/>
            <w:rFonts w:ascii="Arial" w:hAnsi="Arial" w:cs="Arial"/>
            <w:sz w:val="24"/>
            <w:szCs w:val="24"/>
            <w:lang/>
          </w:rPr>
          <w:t>https://www.sciencedirect.com/science/article/pii/S2530016417302707</w:t>
        </w:r>
      </w:hyperlink>
    </w:p>
    <w:p w:rsidR="00222451" w:rsidRPr="006472C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6472C5">
        <w:rPr>
          <w:rFonts w:ascii="Arial" w:hAnsi="Arial" w:cs="Arial"/>
          <w:sz w:val="24"/>
          <w:szCs w:val="24"/>
          <w:lang/>
        </w:rPr>
        <w:t>Vaquerizo AC. Nutrición parenteral en el paciente crítico: indicaciones y controversias. Nutr Clin Med [Internet]. 201</w:t>
      </w:r>
      <w:r>
        <w:rPr>
          <w:rFonts w:ascii="Arial" w:hAnsi="Arial" w:cs="Arial"/>
          <w:sz w:val="24"/>
          <w:szCs w:val="24"/>
          <w:lang/>
        </w:rPr>
        <w:t>9</w:t>
      </w:r>
      <w:r w:rsidRPr="006472C5">
        <w:rPr>
          <w:rFonts w:ascii="Arial" w:hAnsi="Arial" w:cs="Arial"/>
          <w:sz w:val="24"/>
          <w:szCs w:val="24"/>
          <w:lang/>
        </w:rPr>
        <w:t xml:space="preserve"> [citado 2 de febrero 2022]; 11 (1): 26-41. Disponible en: </w:t>
      </w:r>
      <w:hyperlink r:id="rId21" w:history="1">
        <w:r w:rsidRPr="006472C5">
          <w:rPr>
            <w:rStyle w:val="Hipervnculo"/>
            <w:rFonts w:ascii="Arial" w:hAnsi="Arial" w:cs="Arial"/>
            <w:sz w:val="24"/>
            <w:szCs w:val="24"/>
            <w:lang/>
          </w:rPr>
          <w:t>http://www.aulamedica.es/nutricionclinicamedicina/pdf/5048.pdf</w:t>
        </w:r>
      </w:hyperlink>
    </w:p>
    <w:p w:rsidR="00222451" w:rsidRPr="006472C5" w:rsidRDefault="00222451" w:rsidP="00222451">
      <w:pPr>
        <w:pStyle w:val="Prrafodelista"/>
        <w:numPr>
          <w:ilvl w:val="0"/>
          <w:numId w:val="3"/>
        </w:numPr>
        <w:spacing w:after="0" w:line="360" w:lineRule="auto"/>
        <w:jc w:val="both"/>
        <w:rPr>
          <w:rStyle w:val="Hipervnculo"/>
          <w:rFonts w:ascii="Arial" w:hAnsi="Arial" w:cs="Arial"/>
          <w:sz w:val="24"/>
          <w:szCs w:val="24"/>
          <w:lang/>
        </w:rPr>
      </w:pPr>
      <w:r>
        <w:rPr>
          <w:rFonts w:ascii="Arial" w:hAnsi="Arial" w:cs="Arial"/>
          <w:sz w:val="24"/>
          <w:szCs w:val="24"/>
          <w:lang/>
        </w:rPr>
        <w:t xml:space="preserve"> Pé</w:t>
      </w:r>
      <w:r w:rsidRPr="006472C5">
        <w:rPr>
          <w:rFonts w:ascii="Arial" w:hAnsi="Arial" w:cs="Arial"/>
          <w:sz w:val="24"/>
          <w:szCs w:val="24"/>
          <w:lang/>
        </w:rPr>
        <w:t>rez-Cruz E, Barrientos-Jiménez M, Camacho-Guerra C, Tapia-Gómez Y, Torres-González K, Uribe-Quiroz G. Problemas nutricionales en pacientes con enfermedades neurológicas. Rev Hosp Jua Mex [Internet]. 201</w:t>
      </w:r>
      <w:r>
        <w:rPr>
          <w:rFonts w:ascii="Arial" w:hAnsi="Arial" w:cs="Arial"/>
          <w:sz w:val="24"/>
          <w:szCs w:val="24"/>
          <w:lang/>
        </w:rPr>
        <w:t>9</w:t>
      </w:r>
      <w:r w:rsidRPr="006472C5">
        <w:rPr>
          <w:rFonts w:ascii="Arial" w:hAnsi="Arial" w:cs="Arial"/>
          <w:sz w:val="24"/>
          <w:szCs w:val="24"/>
          <w:lang/>
        </w:rPr>
        <w:t xml:space="preserve"> [citado 2 de febrero 2022]; 84 (1): 26-36. Disponible en: </w:t>
      </w:r>
      <w:hyperlink r:id="rId22" w:history="1">
        <w:r w:rsidRPr="006472C5">
          <w:rPr>
            <w:rStyle w:val="Hipervnculo"/>
            <w:rFonts w:ascii="Arial" w:hAnsi="Arial" w:cs="Arial"/>
            <w:sz w:val="24"/>
            <w:szCs w:val="24"/>
            <w:lang/>
          </w:rPr>
          <w:t>http://www.medigraphic.com/pdfs/juarez/ju-2017/ju171f.pdf</w:t>
        </w:r>
      </w:hyperlink>
    </w:p>
    <w:p w:rsidR="00222451" w:rsidRPr="006472C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6472C5">
        <w:rPr>
          <w:rFonts w:ascii="Arial" w:hAnsi="Arial" w:cs="Arial"/>
          <w:sz w:val="24"/>
          <w:szCs w:val="24"/>
          <w:lang/>
        </w:rPr>
        <w:t xml:space="preserve">Barrera JS, Huamani Z. “Determinación de factores asociados al estado nutricional de pacientes adultos que reciben nutrición enteral de UCI-UCIM Hncase essalud Arequipa, 2018”. [Internet].  2018[citado 2 de febrero 2022]. Disponible en: </w:t>
      </w:r>
      <w:hyperlink r:id="rId23" w:history="1">
        <w:r w:rsidRPr="006472C5">
          <w:rPr>
            <w:rStyle w:val="Hipervnculo"/>
            <w:rFonts w:ascii="Arial" w:hAnsi="Arial" w:cs="Arial"/>
            <w:sz w:val="24"/>
            <w:szCs w:val="24"/>
            <w:lang/>
          </w:rPr>
          <w:t>http://repositorio.unsa.edu.pe/handle/UNSA/7151</w:t>
        </w:r>
      </w:hyperlink>
    </w:p>
    <w:p w:rsidR="00222451" w:rsidRPr="006472C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6472C5">
        <w:rPr>
          <w:rFonts w:ascii="Arial" w:hAnsi="Arial" w:cs="Arial"/>
          <w:sz w:val="24"/>
          <w:szCs w:val="24"/>
          <w:lang/>
        </w:rPr>
        <w:t>Fernández PJ, Romero PJ, García PF. Fórmulas de nutrición enteral: revisión de la evidencia actual. Nutr Clin Med [Internet]. 20</w:t>
      </w:r>
      <w:r>
        <w:rPr>
          <w:rFonts w:ascii="Arial" w:hAnsi="Arial" w:cs="Arial"/>
          <w:sz w:val="24"/>
          <w:szCs w:val="24"/>
          <w:lang/>
        </w:rPr>
        <w:t>21</w:t>
      </w:r>
      <w:r w:rsidRPr="006472C5">
        <w:rPr>
          <w:rFonts w:ascii="Arial" w:hAnsi="Arial" w:cs="Arial"/>
          <w:sz w:val="24"/>
          <w:szCs w:val="24"/>
          <w:lang/>
        </w:rPr>
        <w:t xml:space="preserve"> [citado 2 de febrero 2022]; 11 (3): 171-186. Disponible en: </w:t>
      </w:r>
      <w:hyperlink r:id="rId24" w:history="1">
        <w:r w:rsidRPr="006472C5">
          <w:rPr>
            <w:rStyle w:val="Hipervnculo"/>
            <w:rFonts w:ascii="Arial" w:hAnsi="Arial" w:cs="Arial"/>
            <w:sz w:val="24"/>
            <w:szCs w:val="24"/>
            <w:lang/>
          </w:rPr>
          <w:t>http://www.aulamedica.es/nutricionclinicamedicina/pdf/5054.pdf</w:t>
        </w:r>
      </w:hyperlink>
    </w:p>
    <w:p w:rsidR="00222451" w:rsidRPr="006472C5"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6472C5">
        <w:rPr>
          <w:rFonts w:ascii="Arial" w:hAnsi="Arial" w:cs="Arial"/>
          <w:sz w:val="24"/>
          <w:szCs w:val="24"/>
          <w:lang/>
        </w:rPr>
        <w:t>Bermejo la calle,Blesa,Giner A. Nutrición enteral precoz versus tardía en unidades de cuidados intensivos. Análisis de resultados. J Negat No Posit Results [Internet]. 20</w:t>
      </w:r>
      <w:r>
        <w:rPr>
          <w:rFonts w:ascii="Arial" w:hAnsi="Arial" w:cs="Arial"/>
          <w:sz w:val="24"/>
          <w:szCs w:val="24"/>
          <w:lang/>
        </w:rPr>
        <w:t>20</w:t>
      </w:r>
      <w:r w:rsidRPr="006472C5">
        <w:rPr>
          <w:rFonts w:ascii="Arial" w:hAnsi="Arial" w:cs="Arial"/>
          <w:sz w:val="24"/>
          <w:szCs w:val="24"/>
          <w:lang/>
        </w:rPr>
        <w:t xml:space="preserve"> Jun 3 [citado 2 de febrero 2022];2(8):343–4050. Disponible en: </w:t>
      </w:r>
      <w:hyperlink r:id="rId25" w:history="1">
        <w:r w:rsidRPr="006472C5">
          <w:rPr>
            <w:rStyle w:val="Hipervnculo"/>
            <w:rFonts w:ascii="Arial" w:hAnsi="Arial" w:cs="Arial"/>
            <w:sz w:val="24"/>
            <w:szCs w:val="24"/>
            <w:lang/>
          </w:rPr>
          <w:t>http://revistas.proeditio.com/jonnpr/article/view/1508</w:t>
        </w:r>
      </w:hyperlink>
    </w:p>
    <w:p w:rsidR="00222451" w:rsidRPr="0029743D"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6472C5">
        <w:rPr>
          <w:rFonts w:ascii="Arial" w:hAnsi="Arial" w:cs="Arial"/>
          <w:sz w:val="24"/>
          <w:szCs w:val="24"/>
          <w:lang/>
        </w:rPr>
        <w:t xml:space="preserve">Acosta Escribanoa J, Herrero Meseguerb I, García-Quijada R. Recomendaciones para el soporte nutricional y metabólico especializado del paciente crítico. Actualización. Consenso SEMICYUC-SENPE: Paciente neurocrítico. Med </w:t>
      </w:r>
      <w:r w:rsidRPr="006472C5">
        <w:rPr>
          <w:rFonts w:ascii="Arial" w:hAnsi="Arial" w:cs="Arial"/>
          <w:sz w:val="24"/>
          <w:szCs w:val="24"/>
          <w:lang/>
        </w:rPr>
        <w:lastRenderedPageBreak/>
        <w:t>Intensiva. [Internet]. 201</w:t>
      </w:r>
      <w:r>
        <w:rPr>
          <w:rFonts w:ascii="Arial" w:hAnsi="Arial" w:cs="Arial"/>
          <w:sz w:val="24"/>
          <w:szCs w:val="24"/>
          <w:lang/>
        </w:rPr>
        <w:t>8</w:t>
      </w:r>
      <w:r w:rsidRPr="006472C5">
        <w:rPr>
          <w:rFonts w:ascii="Arial" w:hAnsi="Arial" w:cs="Arial"/>
          <w:sz w:val="24"/>
          <w:szCs w:val="24"/>
          <w:lang/>
        </w:rPr>
        <w:t xml:space="preserve">[citado 2 de febrero 2022]; 35(Supl 1):77-80. Disponible en: </w:t>
      </w:r>
      <w:hyperlink r:id="rId26" w:history="1">
        <w:r w:rsidRPr="006472C5">
          <w:rPr>
            <w:rStyle w:val="Hipervnculo"/>
            <w:rFonts w:ascii="Arial" w:hAnsi="Arial" w:cs="Arial"/>
            <w:sz w:val="24"/>
            <w:szCs w:val="24"/>
            <w:lang/>
          </w:rPr>
          <w:t>https://www.medintensiva.org/es-recomendaciones-el-soporte-nutricional-metabolico-articulo-S021056911170002X</w:t>
        </w:r>
      </w:hyperlink>
    </w:p>
    <w:p w:rsidR="00222451" w:rsidRPr="00B43F3D" w:rsidRDefault="00222451" w:rsidP="00222451">
      <w:pPr>
        <w:pStyle w:val="Prrafodelista"/>
        <w:numPr>
          <w:ilvl w:val="0"/>
          <w:numId w:val="3"/>
        </w:numPr>
        <w:spacing w:after="0" w:line="360" w:lineRule="auto"/>
        <w:jc w:val="both"/>
        <w:rPr>
          <w:rStyle w:val="Hipervnculo"/>
          <w:rFonts w:ascii="Arial" w:hAnsi="Arial" w:cs="Arial"/>
          <w:sz w:val="24"/>
          <w:szCs w:val="24"/>
          <w:lang/>
        </w:rPr>
      </w:pPr>
      <w:r w:rsidRPr="0029743D">
        <w:rPr>
          <w:rFonts w:ascii="Arial" w:hAnsi="Arial" w:cs="Arial"/>
          <w:sz w:val="24"/>
          <w:szCs w:val="24"/>
          <w:lang/>
        </w:rPr>
        <w:t xml:space="preserve">Valdés-Suárez O. Nutrición en el neurocrítico. Vol. 17, suplemento. 1 [Internet]. 2018[citado 2 de febrero 2022]. Pág. 41-50 Disponible en: </w:t>
      </w:r>
      <w:hyperlink r:id="rId27" w:history="1">
        <w:r w:rsidRPr="0029743D">
          <w:rPr>
            <w:rStyle w:val="Hipervnculo"/>
            <w:rFonts w:ascii="Arial" w:hAnsi="Arial" w:cs="Arial"/>
            <w:sz w:val="24"/>
            <w:szCs w:val="24"/>
            <w:lang/>
          </w:rPr>
          <w:t>http://www.revmie.sld.cu/index.php/mie/article/view/445/html_151</w:t>
        </w:r>
      </w:hyperlink>
    </w:p>
    <w:p w:rsidR="00222451" w:rsidRPr="00B43F3D" w:rsidRDefault="00222451" w:rsidP="00222451">
      <w:pPr>
        <w:pStyle w:val="Prrafodelista"/>
        <w:numPr>
          <w:ilvl w:val="0"/>
          <w:numId w:val="3"/>
        </w:numPr>
        <w:spacing w:after="0" w:line="360" w:lineRule="auto"/>
        <w:jc w:val="both"/>
        <w:rPr>
          <w:rFonts w:ascii="Arial" w:hAnsi="Arial" w:cs="Arial"/>
          <w:sz w:val="24"/>
          <w:szCs w:val="24"/>
          <w:lang/>
        </w:rPr>
      </w:pPr>
      <w:r w:rsidRPr="00B43F3D">
        <w:rPr>
          <w:rFonts w:ascii="Arial" w:hAnsi="Arial" w:cs="Arial"/>
          <w:color w:val="000000"/>
          <w:sz w:val="24"/>
          <w:szCs w:val="24"/>
          <w:shd w:val="clear" w:color="auto" w:fill="FFFFFF"/>
          <w:lang/>
        </w:rPr>
        <w:t xml:space="preserve">Ortega Ibañez Cristina, Pelari Lira, Cadeddu Giovanna, Barrionuevo Patricia, González Ainhoa, Aguado Ángela et al. </w:t>
      </w:r>
      <w:r w:rsidRPr="00266F7C">
        <w:rPr>
          <w:rFonts w:ascii="Arial" w:hAnsi="Arial" w:cs="Arial"/>
          <w:color w:val="000000"/>
          <w:sz w:val="24"/>
          <w:szCs w:val="24"/>
          <w:shd w:val="clear" w:color="auto" w:fill="FFFFFF"/>
          <w:lang/>
        </w:rPr>
        <w:t xml:space="preserve">Influencia de la desnutrición en la calidad de vida del paciente oncológico antes del inicio del tratamiento quimio/radioterápico. Rev Esp Nutr Hum Diet  [Internet]. 2021 Mar [citado 2022 Mayo 12] ;  25( 1 ): 39-47. </w:t>
      </w:r>
      <w:r w:rsidRPr="00B43F3D">
        <w:rPr>
          <w:rFonts w:ascii="Arial" w:hAnsi="Arial" w:cs="Arial"/>
          <w:color w:val="000000"/>
          <w:sz w:val="24"/>
          <w:szCs w:val="24"/>
          <w:shd w:val="clear" w:color="auto" w:fill="FFFFFF"/>
          <w:lang/>
        </w:rPr>
        <w:t xml:space="preserve">Disponible en: </w:t>
      </w:r>
      <w:r w:rsidRPr="00B43F3D">
        <w:rPr>
          <w:rFonts w:ascii="Arial" w:hAnsi="Arial" w:cs="Arial"/>
          <w:color w:val="0070C0"/>
          <w:sz w:val="24"/>
          <w:szCs w:val="24"/>
          <w:u w:val="single"/>
          <w:shd w:val="clear" w:color="auto" w:fill="FFFFFF"/>
          <w:lang/>
        </w:rPr>
        <w:t>http://scielo.isciii.es/scielo.php?script=sci_arttext&amp;pid=S2174-51452021000100039&amp;lng=es. </w:t>
      </w:r>
      <w:r w:rsidRPr="00B43F3D">
        <w:rPr>
          <w:rFonts w:ascii="Arial" w:hAnsi="Arial" w:cs="Arial"/>
          <w:color w:val="0070C0"/>
          <w:sz w:val="24"/>
          <w:szCs w:val="24"/>
          <w:u w:val="single"/>
          <w:shd w:val="clear" w:color="auto" w:fill="FFFFFF"/>
        </w:rPr>
        <w:t>Epub 08Nov2021.   https://dx.doi.org/10.14306/renhyd.25.1.1061</w:t>
      </w:r>
    </w:p>
    <w:p w:rsidR="00222451" w:rsidRDefault="00222451" w:rsidP="00222451">
      <w:pPr>
        <w:pStyle w:val="ref"/>
        <w:numPr>
          <w:ilvl w:val="0"/>
          <w:numId w:val="3"/>
        </w:numPr>
        <w:rPr>
          <w:rFonts w:ascii="Verdana" w:hAnsi="Verdana"/>
          <w:color w:val="000000"/>
          <w:sz w:val="23"/>
          <w:szCs w:val="23"/>
        </w:rPr>
      </w:pPr>
      <w:r w:rsidRPr="00555402">
        <w:rPr>
          <w:rFonts w:ascii="Verdana" w:hAnsi="Verdana"/>
          <w:color w:val="000000"/>
          <w:sz w:val="23"/>
          <w:szCs w:val="23"/>
        </w:rPr>
        <w:t>Schulz KH, Patra S, Spielmann H, Klapdor S, Schlüter K, van Eckert S. Physical condition, nutritional status, fatigue, and quality of life in oncological out-patients. SAGE Open Med. 2017; 5: 2050312117743674.</w:t>
      </w:r>
      <w:bookmarkStart w:id="2" w:name="B18"/>
      <w:bookmarkEnd w:id="2"/>
      <w:r w:rsidRPr="00B43F3D">
        <w:rPr>
          <w:rFonts w:ascii="Arial" w:hAnsi="Arial" w:cs="Arial"/>
          <w:color w:val="000000"/>
          <w:shd w:val="clear" w:color="auto" w:fill="FFFFFF"/>
          <w:lang/>
        </w:rPr>
        <w:t>Disponible en:</w:t>
      </w:r>
      <w:hyperlink r:id="rId28" w:history="1">
        <w:r w:rsidRPr="00FB65C2">
          <w:rPr>
            <w:rStyle w:val="Hipervnculo"/>
            <w:rFonts w:ascii="Arial" w:hAnsi="Arial" w:cs="Arial"/>
            <w:shd w:val="clear" w:color="auto" w:fill="FFFFFF"/>
            <w:lang/>
          </w:rPr>
          <w:t>https://www.ncbi.nlm.nih.gov/pmc/articles/PMC5753892/</w:t>
        </w:r>
      </w:hyperlink>
    </w:p>
    <w:p w:rsidR="00222451" w:rsidRDefault="00222451" w:rsidP="00222451">
      <w:pPr>
        <w:pStyle w:val="ref"/>
        <w:numPr>
          <w:ilvl w:val="0"/>
          <w:numId w:val="3"/>
        </w:numPr>
        <w:rPr>
          <w:rFonts w:ascii="Verdana" w:hAnsi="Verdana"/>
          <w:color w:val="000000"/>
          <w:sz w:val="23"/>
          <w:szCs w:val="23"/>
        </w:rPr>
      </w:pPr>
      <w:r w:rsidRPr="00B43DBD">
        <w:rPr>
          <w:rFonts w:ascii="Verdana" w:hAnsi="Verdana"/>
          <w:color w:val="000000"/>
          <w:sz w:val="23"/>
          <w:szCs w:val="23"/>
        </w:rPr>
        <w:t>Jin S, Lu Q, Pang D, Sun Y, Xiao S, Zheng B, et al. Validation of the Chinese version of the Head and Neck Patient Symptom Checklist for measuring nutrition impact symptoms during radiotherapy in patients with head and neck cancer. Support Care C</w:t>
      </w:r>
      <w:r>
        <w:rPr>
          <w:rFonts w:ascii="Verdana" w:hAnsi="Verdana"/>
          <w:color w:val="000000"/>
          <w:sz w:val="23"/>
          <w:szCs w:val="23"/>
        </w:rPr>
        <w:t xml:space="preserve">ancer. 2019; 27(12): 4705-11. </w:t>
      </w:r>
      <w:r w:rsidRPr="00B43F3D">
        <w:rPr>
          <w:rFonts w:ascii="Arial" w:hAnsi="Arial" w:cs="Arial"/>
          <w:color w:val="000000"/>
          <w:shd w:val="clear" w:color="auto" w:fill="FFFFFF"/>
          <w:lang/>
        </w:rPr>
        <w:t>Disponible en:</w:t>
      </w:r>
      <w:hyperlink r:id="rId29" w:history="1">
        <w:r w:rsidRPr="00FB65C2">
          <w:rPr>
            <w:rStyle w:val="Hipervnculo"/>
            <w:rFonts w:ascii="Verdana" w:hAnsi="Verdana"/>
            <w:sz w:val="23"/>
            <w:szCs w:val="23"/>
          </w:rPr>
          <w:t>https://pubmed.ncbi.nlm.nih.gov/30949830/</w:t>
        </w:r>
      </w:hyperlink>
      <w:bookmarkStart w:id="3" w:name="B19"/>
      <w:bookmarkStart w:id="4" w:name="B20"/>
      <w:bookmarkEnd w:id="3"/>
      <w:bookmarkEnd w:id="4"/>
    </w:p>
    <w:p w:rsidR="00222451" w:rsidRDefault="00222451" w:rsidP="00222451">
      <w:pPr>
        <w:pStyle w:val="ref"/>
        <w:numPr>
          <w:ilvl w:val="0"/>
          <w:numId w:val="3"/>
        </w:numPr>
        <w:rPr>
          <w:rFonts w:ascii="Verdana" w:hAnsi="Verdana"/>
          <w:color w:val="000000"/>
          <w:sz w:val="23"/>
          <w:szCs w:val="23"/>
        </w:rPr>
      </w:pPr>
      <w:r w:rsidRPr="00B43DBD">
        <w:rPr>
          <w:rFonts w:ascii="Verdana" w:hAnsi="Verdana"/>
          <w:color w:val="000000"/>
          <w:sz w:val="23"/>
          <w:szCs w:val="23"/>
        </w:rPr>
        <w:t xml:space="preserve">Campos JADB, Silva WRD, Spexoto MCB, Serrano SV, Marôco J. Clinical, dietary and demographic characteristics interfering on quality of life of cancer patients. Einstein. 2018; 16(4): eAO4368. </w:t>
      </w:r>
      <w:r w:rsidRPr="00B43DBD">
        <w:rPr>
          <w:rFonts w:ascii="Arial" w:hAnsi="Arial" w:cs="Arial"/>
          <w:color w:val="000000"/>
          <w:shd w:val="clear" w:color="auto" w:fill="FFFFFF"/>
          <w:lang/>
        </w:rPr>
        <w:t>Disponible en:</w:t>
      </w:r>
      <w:hyperlink r:id="rId30" w:history="1">
        <w:r w:rsidRPr="00FB65C2">
          <w:rPr>
            <w:rStyle w:val="Hipervnculo"/>
            <w:rFonts w:ascii="Verdana" w:hAnsi="Verdana"/>
            <w:sz w:val="23"/>
            <w:szCs w:val="23"/>
          </w:rPr>
          <w:t>https://www.ncbi.nlm.nih.gov/pmc/articles/PMC6276908/</w:t>
        </w:r>
      </w:hyperlink>
      <w:bookmarkStart w:id="5" w:name="B21"/>
      <w:bookmarkEnd w:id="5"/>
    </w:p>
    <w:p w:rsidR="00222451" w:rsidRPr="00B43DBD" w:rsidRDefault="00222451" w:rsidP="00222451">
      <w:pPr>
        <w:pStyle w:val="ref"/>
        <w:numPr>
          <w:ilvl w:val="0"/>
          <w:numId w:val="3"/>
        </w:numPr>
        <w:rPr>
          <w:rFonts w:ascii="Verdana" w:hAnsi="Verdana"/>
          <w:color w:val="000000"/>
          <w:sz w:val="23"/>
          <w:szCs w:val="23"/>
        </w:rPr>
      </w:pPr>
      <w:r w:rsidRPr="00B43DBD">
        <w:rPr>
          <w:rFonts w:ascii="Verdana" w:hAnsi="Verdana"/>
          <w:color w:val="000000"/>
          <w:sz w:val="23"/>
          <w:szCs w:val="23"/>
        </w:rPr>
        <w:t xml:space="preserve">Calderon C, Carmona-Bayonas A, Beato C, Ghanem I, Hernandez R, Majem M, et al. Risk of malnutrition and emotional distress as factors affecting health-related quality of life in patients with resected cancer. ClinTranslOncol. 2019; 21(5): 687-691. </w:t>
      </w:r>
      <w:r w:rsidRPr="00B43DBD">
        <w:rPr>
          <w:rFonts w:ascii="Arial" w:hAnsi="Arial" w:cs="Arial"/>
          <w:color w:val="000000"/>
          <w:shd w:val="clear" w:color="auto" w:fill="FFFFFF"/>
          <w:lang/>
        </w:rPr>
        <w:t xml:space="preserve">Disponible en: </w:t>
      </w:r>
      <w:hyperlink r:id="rId31" w:history="1">
        <w:r w:rsidRPr="00B43DBD">
          <w:rPr>
            <w:rStyle w:val="Hipervnculo"/>
            <w:rFonts w:ascii="Arial" w:hAnsi="Arial" w:cs="Arial"/>
            <w:shd w:val="clear" w:color="auto" w:fill="FFFFFF"/>
            <w:lang/>
          </w:rPr>
          <w:t>https://pubmed.ncbi.nlm.nih.gov/30284234/</w:t>
        </w:r>
      </w:hyperlink>
    </w:p>
    <w:p w:rsidR="00222451" w:rsidRPr="00266F7C" w:rsidRDefault="00222451" w:rsidP="00222451">
      <w:pPr>
        <w:pStyle w:val="ref"/>
        <w:ind w:left="432"/>
        <w:rPr>
          <w:rFonts w:ascii="Verdana" w:hAnsi="Verdana"/>
          <w:color w:val="000000"/>
          <w:sz w:val="23"/>
          <w:szCs w:val="23"/>
        </w:rPr>
      </w:pPr>
    </w:p>
    <w:p w:rsidR="00222451" w:rsidRPr="00266F7C" w:rsidRDefault="00222451" w:rsidP="00222451">
      <w:pPr>
        <w:pStyle w:val="Prrafodelista"/>
        <w:spacing w:after="0" w:line="360" w:lineRule="auto"/>
        <w:ind w:left="432"/>
        <w:jc w:val="both"/>
        <w:rPr>
          <w:rFonts w:ascii="Arial" w:hAnsi="Arial" w:cs="Arial"/>
          <w:sz w:val="24"/>
          <w:szCs w:val="24"/>
        </w:rPr>
      </w:pPr>
    </w:p>
    <w:p w:rsidR="00222451" w:rsidRPr="00266F7C" w:rsidRDefault="00222451" w:rsidP="00222451">
      <w:pPr>
        <w:pStyle w:val="Prrafodelista"/>
        <w:spacing w:after="0" w:line="360" w:lineRule="auto"/>
        <w:ind w:left="432"/>
        <w:jc w:val="both"/>
        <w:rPr>
          <w:rFonts w:ascii="Arial" w:hAnsi="Arial" w:cs="Arial"/>
          <w:sz w:val="24"/>
          <w:szCs w:val="24"/>
        </w:rPr>
      </w:pPr>
    </w:p>
    <w:p w:rsidR="00222451" w:rsidRPr="00266F7C" w:rsidRDefault="00222451" w:rsidP="00222451">
      <w:pPr>
        <w:spacing w:after="0" w:line="360" w:lineRule="auto"/>
        <w:ind w:left="72"/>
        <w:jc w:val="both"/>
        <w:rPr>
          <w:rStyle w:val="Hipervnculo"/>
          <w:rFonts w:ascii="Arial" w:hAnsi="Arial" w:cs="Arial"/>
          <w:sz w:val="24"/>
          <w:szCs w:val="24"/>
        </w:rPr>
      </w:pPr>
    </w:p>
    <w:p w:rsidR="00222451" w:rsidRPr="00266F7C" w:rsidRDefault="00222451" w:rsidP="00222451">
      <w:pPr>
        <w:spacing w:after="0" w:line="360" w:lineRule="auto"/>
        <w:jc w:val="both"/>
        <w:rPr>
          <w:rFonts w:ascii="Arial" w:hAnsi="Arial" w:cs="Arial"/>
          <w:sz w:val="24"/>
          <w:szCs w:val="24"/>
        </w:rPr>
      </w:pPr>
    </w:p>
    <w:p w:rsidR="00222451" w:rsidRPr="00266F7C" w:rsidRDefault="00222451" w:rsidP="00222451">
      <w:pPr>
        <w:spacing w:line="360" w:lineRule="auto"/>
        <w:jc w:val="both"/>
        <w:rPr>
          <w:rFonts w:ascii="Arial" w:hAnsi="Arial" w:cs="Arial"/>
          <w:sz w:val="24"/>
          <w:szCs w:val="24"/>
        </w:rPr>
      </w:pPr>
    </w:p>
    <w:p w:rsidR="00112E19" w:rsidRPr="00B143E5" w:rsidRDefault="00112E19" w:rsidP="00B879C5">
      <w:pPr>
        <w:pStyle w:val="Encabezado"/>
        <w:jc w:val="both"/>
        <w:rPr>
          <w:rFonts w:ascii="Arial" w:hAnsi="Arial" w:cs="Arial"/>
          <w:sz w:val="24"/>
          <w:szCs w:val="24"/>
        </w:rPr>
      </w:pPr>
    </w:p>
    <w:sectPr w:rsidR="00112E19" w:rsidRPr="00B143E5" w:rsidSect="001307D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EF0" w:rsidRDefault="00261EF0" w:rsidP="0091461B">
      <w:pPr>
        <w:spacing w:after="0" w:line="240" w:lineRule="auto"/>
      </w:pPr>
      <w:r>
        <w:separator/>
      </w:r>
    </w:p>
  </w:endnote>
  <w:endnote w:type="continuationSeparator" w:id="1">
    <w:p w:rsidR="00261EF0" w:rsidRDefault="00261EF0" w:rsidP="00914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EF0" w:rsidRDefault="00261EF0" w:rsidP="0091461B">
      <w:pPr>
        <w:spacing w:after="0" w:line="240" w:lineRule="auto"/>
      </w:pPr>
      <w:r>
        <w:separator/>
      </w:r>
    </w:p>
  </w:footnote>
  <w:footnote w:type="continuationSeparator" w:id="1">
    <w:p w:rsidR="00261EF0" w:rsidRDefault="00261EF0" w:rsidP="00914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F25ED"/>
    <w:multiLevelType w:val="hybridMultilevel"/>
    <w:tmpl w:val="9F040B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AD46791"/>
    <w:multiLevelType w:val="hybridMultilevel"/>
    <w:tmpl w:val="6ABE92BC"/>
    <w:lvl w:ilvl="0" w:tplc="833E5402">
      <w:start w:val="1"/>
      <w:numFmt w:val="decimal"/>
      <w:lvlText w:val="%1."/>
      <w:lvlJc w:val="left"/>
      <w:pPr>
        <w:ind w:left="72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8B04229"/>
    <w:multiLevelType w:val="hybridMultilevel"/>
    <w:tmpl w:val="1E38BA6C"/>
    <w:lvl w:ilvl="0" w:tplc="E36E7C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1461B"/>
    <w:rsid w:val="0002111F"/>
    <w:rsid w:val="00077B63"/>
    <w:rsid w:val="00110A22"/>
    <w:rsid w:val="00112E19"/>
    <w:rsid w:val="001307DA"/>
    <w:rsid w:val="00132384"/>
    <w:rsid w:val="00145AC5"/>
    <w:rsid w:val="001D5D72"/>
    <w:rsid w:val="00215D66"/>
    <w:rsid w:val="00222451"/>
    <w:rsid w:val="00246221"/>
    <w:rsid w:val="00261EF0"/>
    <w:rsid w:val="0027604B"/>
    <w:rsid w:val="0028571C"/>
    <w:rsid w:val="002A47E1"/>
    <w:rsid w:val="002F5E1F"/>
    <w:rsid w:val="00331F0D"/>
    <w:rsid w:val="003E2241"/>
    <w:rsid w:val="0044215B"/>
    <w:rsid w:val="004E7398"/>
    <w:rsid w:val="00510C3F"/>
    <w:rsid w:val="0055229B"/>
    <w:rsid w:val="00571FE1"/>
    <w:rsid w:val="005A444A"/>
    <w:rsid w:val="005E4977"/>
    <w:rsid w:val="005F68A2"/>
    <w:rsid w:val="006365FA"/>
    <w:rsid w:val="006E0E25"/>
    <w:rsid w:val="00703833"/>
    <w:rsid w:val="007124B4"/>
    <w:rsid w:val="007A567D"/>
    <w:rsid w:val="008042AF"/>
    <w:rsid w:val="00870684"/>
    <w:rsid w:val="00873832"/>
    <w:rsid w:val="00877E7D"/>
    <w:rsid w:val="008B154D"/>
    <w:rsid w:val="0091461B"/>
    <w:rsid w:val="0094525A"/>
    <w:rsid w:val="0097442E"/>
    <w:rsid w:val="009D4850"/>
    <w:rsid w:val="00A50B94"/>
    <w:rsid w:val="00A72B69"/>
    <w:rsid w:val="00AB2238"/>
    <w:rsid w:val="00AF3132"/>
    <w:rsid w:val="00B143E5"/>
    <w:rsid w:val="00B52790"/>
    <w:rsid w:val="00B63547"/>
    <w:rsid w:val="00B843CD"/>
    <w:rsid w:val="00B879C5"/>
    <w:rsid w:val="00BA2CB0"/>
    <w:rsid w:val="00BD3A7E"/>
    <w:rsid w:val="00C01477"/>
    <w:rsid w:val="00C039DC"/>
    <w:rsid w:val="00C807BD"/>
    <w:rsid w:val="00C878D4"/>
    <w:rsid w:val="00C90C49"/>
    <w:rsid w:val="00D94361"/>
    <w:rsid w:val="00DA3FCD"/>
    <w:rsid w:val="00DB000A"/>
    <w:rsid w:val="00E0782E"/>
    <w:rsid w:val="00E50D0B"/>
    <w:rsid w:val="00E904B8"/>
    <w:rsid w:val="00E95AEB"/>
    <w:rsid w:val="00EE6840"/>
    <w:rsid w:val="00F1511E"/>
    <w:rsid w:val="00F201AE"/>
    <w:rsid w:val="00F20735"/>
    <w:rsid w:val="00F263DA"/>
    <w:rsid w:val="00F572B4"/>
    <w:rsid w:val="00F8236D"/>
    <w:rsid w:val="00FD0D13"/>
    <w:rsid w:val="00FF43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51"/>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46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461B"/>
  </w:style>
  <w:style w:type="paragraph" w:styleId="Piedepgina">
    <w:name w:val="footer"/>
    <w:basedOn w:val="Normal"/>
    <w:link w:val="PiedepginaCar"/>
    <w:uiPriority w:val="99"/>
    <w:unhideWhenUsed/>
    <w:rsid w:val="009146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461B"/>
  </w:style>
  <w:style w:type="numbering" w:customStyle="1" w:styleId="Sinlista1">
    <w:name w:val="Sin lista1"/>
    <w:next w:val="Sinlista"/>
    <w:uiPriority w:val="99"/>
    <w:semiHidden/>
    <w:unhideWhenUsed/>
    <w:rsid w:val="005A444A"/>
  </w:style>
  <w:style w:type="paragraph" w:styleId="Prrafodelista">
    <w:name w:val="List Paragraph"/>
    <w:basedOn w:val="Normal"/>
    <w:qFormat/>
    <w:rsid w:val="00A50B94"/>
    <w:pPr>
      <w:ind w:left="720"/>
      <w:contextualSpacing/>
    </w:pPr>
  </w:style>
  <w:style w:type="character" w:styleId="Hipervnculo">
    <w:name w:val="Hyperlink"/>
    <w:basedOn w:val="Fuentedeprrafopredeter"/>
    <w:uiPriority w:val="99"/>
    <w:unhideWhenUsed/>
    <w:rsid w:val="00DB000A"/>
    <w:rPr>
      <w:color w:val="0000FF" w:themeColor="hyperlink"/>
      <w:u w:val="single"/>
    </w:rPr>
  </w:style>
  <w:style w:type="paragraph" w:customStyle="1" w:styleId="ref">
    <w:name w:val="ref"/>
    <w:basedOn w:val="Normal"/>
    <w:rsid w:val="00112E1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51"/>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46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461B"/>
  </w:style>
  <w:style w:type="paragraph" w:styleId="Piedepgina">
    <w:name w:val="footer"/>
    <w:basedOn w:val="Normal"/>
    <w:link w:val="PiedepginaCar"/>
    <w:uiPriority w:val="99"/>
    <w:unhideWhenUsed/>
    <w:rsid w:val="009146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461B"/>
  </w:style>
  <w:style w:type="numbering" w:customStyle="1" w:styleId="Sinlista1">
    <w:name w:val="Sin lista1"/>
    <w:next w:val="Sinlista"/>
    <w:uiPriority w:val="99"/>
    <w:semiHidden/>
    <w:unhideWhenUsed/>
    <w:rsid w:val="005A444A"/>
  </w:style>
  <w:style w:type="paragraph" w:styleId="Prrafodelista">
    <w:name w:val="List Paragraph"/>
    <w:basedOn w:val="Normal"/>
    <w:qFormat/>
    <w:rsid w:val="00A50B94"/>
    <w:pPr>
      <w:ind w:left="720"/>
      <w:contextualSpacing/>
    </w:pPr>
  </w:style>
  <w:style w:type="character" w:styleId="Hipervnculo">
    <w:name w:val="Hyperlink"/>
    <w:basedOn w:val="Fuentedeprrafopredeter"/>
    <w:uiPriority w:val="99"/>
    <w:unhideWhenUsed/>
    <w:rsid w:val="00DB000A"/>
    <w:rPr>
      <w:color w:val="0000FF" w:themeColor="hyperlink"/>
      <w:u w:val="single"/>
    </w:rPr>
  </w:style>
  <w:style w:type="paragraph" w:customStyle="1" w:styleId="ref">
    <w:name w:val="ref"/>
    <w:basedOn w:val="Normal"/>
    <w:rsid w:val="00112E1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02943044">
      <w:bodyDiv w:val="1"/>
      <w:marLeft w:val="0"/>
      <w:marRight w:val="0"/>
      <w:marTop w:val="0"/>
      <w:marBottom w:val="0"/>
      <w:divBdr>
        <w:top w:val="none" w:sz="0" w:space="0" w:color="auto"/>
        <w:left w:val="none" w:sz="0" w:space="0" w:color="auto"/>
        <w:bottom w:val="none" w:sz="0" w:space="0" w:color="auto"/>
        <w:right w:val="none" w:sz="0" w:space="0" w:color="auto"/>
      </w:divBdr>
    </w:div>
    <w:div w:id="20741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s.google.com.pe/books?id=ntsec=frontcover&amp;_ge_summary_r&amp;cad=0" TargetMode="External"/><Relationship Id="rId18" Type="http://schemas.openxmlformats.org/officeDocument/2006/relationships/hyperlink" Target="http://www.nutrihosp.vd/181021_00%25&amp;/aswre009tam/thhm" TargetMode="External"/><Relationship Id="rId26" Type="http://schemas.openxmlformats.org/officeDocument/2006/relationships/hyperlink" Target="https://www.medintensiva.org/es-recomendaciones-el-soporte-nutricional-metabolico-articulo-S021056911170002X" TargetMode="External"/><Relationship Id="rId3" Type="http://schemas.openxmlformats.org/officeDocument/2006/relationships/styles" Target="styles.xml"/><Relationship Id="rId21" Type="http://schemas.openxmlformats.org/officeDocument/2006/relationships/hyperlink" Target="http://www.aulamedica.es/nutricionclinicamedicina/pdf/5048.pdf"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vmedhile.alat/porasd/lkill_56091&amp;/doc_000002122.es" TargetMode="External"/><Relationship Id="rId17" Type="http://schemas.openxmlformats.org/officeDocument/2006/relationships/hyperlink" Target="http://www.livepubmed.esp/madrid_oms/44retc/00-5600.66&amp;/htm" TargetMode="External"/><Relationship Id="rId25" Type="http://schemas.openxmlformats.org/officeDocument/2006/relationships/hyperlink" Target="http://revistas.proeditio.com/jonnpr/article/view/15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vmetb.gener/metabolismo/etapaped_7800&amp;/doc_000029071212.es" TargetMode="External"/><Relationship Id="rId20" Type="http://schemas.openxmlformats.org/officeDocument/2006/relationships/hyperlink" Target="https://www.sciencedirect.com/science/article/pii/S2530016417302707" TargetMode="External"/><Relationship Id="rId29" Type="http://schemas.openxmlformats.org/officeDocument/2006/relationships/hyperlink" Target="https://pubmed.ncbi.nlm.nih.gov/309498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trihop.esp/madrid_oms/098techos/&amp;7001278/doc_5670%25&amp;.htm" TargetMode="External"/><Relationship Id="rId24" Type="http://schemas.openxmlformats.org/officeDocument/2006/relationships/hyperlink" Target="http://www.aulamedica.es/nutricionclinicamedicina/pdf/5054.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vnutrivlo.novact/pgepilet/lestipldvre_56091&amp;/doc_00000567902.es" TargetMode="External"/><Relationship Id="rId23" Type="http://schemas.openxmlformats.org/officeDocument/2006/relationships/hyperlink" Target="http://repositorio.unsa.edu.pe/handle/UNSA/7151" TargetMode="External"/><Relationship Id="rId28" Type="http://schemas.openxmlformats.org/officeDocument/2006/relationships/hyperlink" Target="https://www.ncbi.nlm.nih.gov/pmc/articles/PMC5753892/" TargetMode="External"/><Relationship Id="rId10" Type="http://schemas.openxmlformats.org/officeDocument/2006/relationships/hyperlink" Target="http://www.nutrihop.esp/madrid_oms/23techos/doc_78.htm" TargetMode="External"/><Relationship Id="rId19" Type="http://schemas.openxmlformats.org/officeDocument/2006/relationships/hyperlink" Target="https://www.pubmed.ncbi.nlm.nih.gov/26773077" TargetMode="External"/><Relationship Id="rId31" Type="http://schemas.openxmlformats.org/officeDocument/2006/relationships/hyperlink" Target="https://pubmed.ncbi.nlm.nih.gov/30284234/" TargetMode="External"/><Relationship Id="rId4" Type="http://schemas.openxmlformats.org/officeDocument/2006/relationships/settings" Target="settings.xml"/><Relationship Id="rId9" Type="http://schemas.openxmlformats.org/officeDocument/2006/relationships/hyperlink" Target="http://www.nutrehopteam.chos/&amp;00_re327./alver762122:075_77qarte.htm" TargetMode="External"/><Relationship Id="rId14" Type="http://schemas.openxmlformats.org/officeDocument/2006/relationships/hyperlink" Target="http://www.nutglob.mx/D.F_oms/00934t/s&amp;53gitds/doc_t543dgyui.htm" TargetMode="External"/><Relationship Id="rId22" Type="http://schemas.openxmlformats.org/officeDocument/2006/relationships/hyperlink" Target="http://www.medigraphic.com/pdfs/juarez/ju-2017/ju171f.pdf" TargetMode="External"/><Relationship Id="rId27" Type="http://schemas.openxmlformats.org/officeDocument/2006/relationships/hyperlink" Target="http://www.revmie.sld.cu/index.php/mie/article/view/445/html_151" TargetMode="External"/><Relationship Id="rId30" Type="http://schemas.openxmlformats.org/officeDocument/2006/relationships/hyperlink" Target="https://www.ncbi.nlm.nih.gov/pmc/articles/PMC62769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2403-55CB-424D-8115-10BB2FA7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6538</Words>
  <Characters>35963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Personal Computer</Company>
  <LinksUpToDate>false</LinksUpToDate>
  <CharactersWithSpaces>42417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Zurelys</cp:lastModifiedBy>
  <cp:revision>33</cp:revision>
  <dcterms:created xsi:type="dcterms:W3CDTF">2019-12-20T04:04:00Z</dcterms:created>
  <dcterms:modified xsi:type="dcterms:W3CDTF">2023-09-11T01:55:00Z</dcterms:modified>
</cp:coreProperties>
</file>