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4"/>
        </w:rPr>
      </w:pPr>
      <w:r>
        <w:rPr>
          <w:rFonts w:ascii="Arial" w:hAnsi="Arial" w:cs="Arial"/>
          <w:b/>
          <w:sz w:val="28"/>
          <w:szCs w:val="32"/>
          <w:lang w:eastAsia="es-ES"/>
        </w:rPr>
        <mc:AlternateContent>
          <mc:Choice Requires="wps">
            <w:drawing>
              <wp:anchor distT="0" distB="0" distL="114300" distR="114300" simplePos="0" relativeHeight="251666432" behindDoc="0" locked="0" layoutInCell="1" allowOverlap="1">
                <wp:simplePos x="0" y="0"/>
                <wp:positionH relativeFrom="column">
                  <wp:posOffset>169545</wp:posOffset>
                </wp:positionH>
                <wp:positionV relativeFrom="paragraph">
                  <wp:posOffset>106045</wp:posOffset>
                </wp:positionV>
                <wp:extent cx="5067300" cy="2030730"/>
                <wp:effectExtent l="0" t="0" r="0" b="0"/>
                <wp:wrapNone/>
                <wp:docPr id="8" name="3 CuadroTexto"/>
                <wp:cNvGraphicFramePr/>
                <a:graphic xmlns:a="http://schemas.openxmlformats.org/drawingml/2006/main">
                  <a:graphicData uri="http://schemas.microsoft.com/office/word/2010/wordprocessingShape">
                    <wps:wsp>
                      <wps:cNvSpPr txBox="1"/>
                      <wps:spPr>
                        <a:xfrm>
                          <a:off x="0" y="0"/>
                          <a:ext cx="5067300" cy="2030730"/>
                        </a:xfrm>
                        <a:prstGeom prst="rect">
                          <a:avLst/>
                        </a:prstGeom>
                        <a:noFill/>
                      </wps:spPr>
                      <wps:txbx>
                        <w:txbxContent>
                          <w:p>
                            <w:pPr>
                              <w:pStyle w:val="6"/>
                              <w:spacing w:before="0" w:beforeAutospacing="0" w:after="0" w:afterAutospacing="0"/>
                              <w:jc w:val="center"/>
                              <w:textAlignment w:val="baseline"/>
                              <w:rPr>
                                <w:sz w:val="40"/>
                              </w:rPr>
                            </w:pPr>
                            <w:r>
                              <w:rPr>
                                <w:rFonts w:hAnsi="Calibri" w:asciiTheme="minorHAnsi" w:cstheme="minorBidi"/>
                                <w:b/>
                                <w:bCs/>
                                <w:color w:val="000000" w:themeColor="text1"/>
                                <w:kern w:val="24"/>
                                <w:sz w:val="52"/>
                                <w:szCs w:val="36"/>
                                <w:lang/>
                                <w14:textFill>
                                  <w14:solidFill>
                                    <w14:schemeClr w14:val="tx1"/>
                                  </w14:solidFill>
                                </w14:textFill>
                              </w:rPr>
                              <w:t>Universidad de Ciencias Médicas</w:t>
                            </w:r>
                          </w:p>
                          <w:p>
                            <w:pPr>
                              <w:pStyle w:val="6"/>
                              <w:spacing w:before="0" w:beforeAutospacing="0" w:after="0" w:afterAutospacing="0"/>
                              <w:jc w:val="center"/>
                              <w:textAlignment w:val="baseline"/>
                              <w:rPr>
                                <w:sz w:val="40"/>
                              </w:rPr>
                            </w:pPr>
                            <w:r>
                              <w:rPr>
                                <w:rFonts w:hAnsi="Calibri" w:asciiTheme="minorHAnsi" w:cstheme="minorBidi"/>
                                <w:b/>
                                <w:bCs/>
                                <w:color w:val="000000" w:themeColor="text1"/>
                                <w:kern w:val="24"/>
                                <w:sz w:val="52"/>
                                <w:szCs w:val="36"/>
                                <w:lang/>
                                <w14:textFill>
                                  <w14:solidFill>
                                    <w14:schemeClr w14:val="tx1"/>
                                  </w14:solidFill>
                                </w14:textFill>
                              </w:rPr>
                              <w:t>Facultad de Ciencias Médicas:</w:t>
                            </w:r>
                          </w:p>
                          <w:p>
                            <w:pPr>
                              <w:pStyle w:val="6"/>
                              <w:kinsoku w:val="0"/>
                              <w:overflowPunct w:val="0"/>
                              <w:spacing w:before="0" w:beforeAutospacing="0" w:after="0" w:afterAutospacing="0"/>
                              <w:jc w:val="center"/>
                              <w:textAlignment w:val="baseline"/>
                              <w:rPr>
                                <w:sz w:val="40"/>
                              </w:rPr>
                            </w:pPr>
                            <w:r>
                              <w:rPr>
                                <w:rFonts w:hAnsi="Calibri" w:asciiTheme="minorHAnsi" w:cstheme="minorBidi"/>
                                <w:b/>
                                <w:bCs/>
                                <w:color w:val="000000" w:themeColor="text1"/>
                                <w:kern w:val="24"/>
                                <w:sz w:val="52"/>
                                <w:szCs w:val="36"/>
                                <w:lang/>
                                <w14:textFill>
                                  <w14:solidFill>
                                    <w14:schemeClr w14:val="tx1"/>
                                  </w14:solidFill>
                                </w14:textFill>
                              </w:rPr>
                              <w:t>“Dr. Faustino Pérez Hernández”</w:t>
                            </w:r>
                          </w:p>
                        </w:txbxContent>
                      </wps:txbx>
                      <wps:bodyPr wrap="square" rtlCol="0">
                        <a:spAutoFit/>
                      </wps:bodyPr>
                    </wps:wsp>
                  </a:graphicData>
                </a:graphic>
              </wp:anchor>
            </w:drawing>
          </mc:Choice>
          <mc:Fallback>
            <w:pict>
              <v:shape id="3 CuadroTexto" o:spid="_x0000_s1026" o:spt="202" type="#_x0000_t202" style="position:absolute;left:0pt;margin-left:13.35pt;margin-top:8.35pt;height:159.9pt;width:399pt;z-index:251666432;mso-width-relative:page;mso-height-relative:page;" filled="f" stroked="f" coordsize="21600,21600" o:gfxdata="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YFYwL1gAAAAkB&#10;AAAPAAAAAAAAAAEAIAAAACIAAABkcnMvZG93bnJldi54bWxQSwECFAAUAAAACACHTuJAYtbPpasB&#10;AABgAwAADgAAAAAAAAABACAAAAAlAQAAZHJzL2Uyb0RvYy54bWxQSwUGAAAAAAYABgBZAQAAQgUA&#10;AAAA&#10;">
                <v:fill on="f" focussize="0,0"/>
                <v:stroke on="f"/>
                <v:imagedata o:title=""/>
                <o:lock v:ext="edit" aspectratio="f"/>
                <v:textbox style="mso-fit-shape-to-text:t;">
                  <w:txbxContent>
                    <w:p>
                      <w:pPr>
                        <w:pStyle w:val="6"/>
                        <w:spacing w:before="0" w:beforeAutospacing="0" w:after="0" w:afterAutospacing="0"/>
                        <w:jc w:val="center"/>
                        <w:textAlignment w:val="baseline"/>
                        <w:rPr>
                          <w:sz w:val="40"/>
                        </w:rPr>
                      </w:pPr>
                      <w:r>
                        <w:rPr>
                          <w:rFonts w:hAnsi="Calibri" w:asciiTheme="minorHAnsi" w:cstheme="minorBidi"/>
                          <w:b/>
                          <w:bCs/>
                          <w:color w:val="000000" w:themeColor="text1"/>
                          <w:kern w:val="24"/>
                          <w:sz w:val="52"/>
                          <w:szCs w:val="36"/>
                          <w:lang/>
                          <w14:textFill>
                            <w14:solidFill>
                              <w14:schemeClr w14:val="tx1"/>
                            </w14:solidFill>
                          </w14:textFill>
                        </w:rPr>
                        <w:t>Universidad de Ciencias Médicas</w:t>
                      </w:r>
                    </w:p>
                    <w:p>
                      <w:pPr>
                        <w:pStyle w:val="6"/>
                        <w:spacing w:before="0" w:beforeAutospacing="0" w:after="0" w:afterAutospacing="0"/>
                        <w:jc w:val="center"/>
                        <w:textAlignment w:val="baseline"/>
                        <w:rPr>
                          <w:sz w:val="40"/>
                        </w:rPr>
                      </w:pPr>
                      <w:r>
                        <w:rPr>
                          <w:rFonts w:hAnsi="Calibri" w:asciiTheme="minorHAnsi" w:cstheme="minorBidi"/>
                          <w:b/>
                          <w:bCs/>
                          <w:color w:val="000000" w:themeColor="text1"/>
                          <w:kern w:val="24"/>
                          <w:sz w:val="52"/>
                          <w:szCs w:val="36"/>
                          <w:lang/>
                          <w14:textFill>
                            <w14:solidFill>
                              <w14:schemeClr w14:val="tx1"/>
                            </w14:solidFill>
                          </w14:textFill>
                        </w:rPr>
                        <w:t>Facultad de Ciencias Médicas:</w:t>
                      </w:r>
                    </w:p>
                    <w:p>
                      <w:pPr>
                        <w:pStyle w:val="6"/>
                        <w:kinsoku w:val="0"/>
                        <w:overflowPunct w:val="0"/>
                        <w:spacing w:before="0" w:beforeAutospacing="0" w:after="0" w:afterAutospacing="0"/>
                        <w:jc w:val="center"/>
                        <w:textAlignment w:val="baseline"/>
                        <w:rPr>
                          <w:sz w:val="40"/>
                        </w:rPr>
                      </w:pPr>
                      <w:r>
                        <w:rPr>
                          <w:rFonts w:hAnsi="Calibri" w:asciiTheme="minorHAnsi" w:cstheme="minorBidi"/>
                          <w:b/>
                          <w:bCs/>
                          <w:color w:val="000000" w:themeColor="text1"/>
                          <w:kern w:val="24"/>
                          <w:sz w:val="52"/>
                          <w:szCs w:val="36"/>
                          <w:lang/>
                          <w14:textFill>
                            <w14:solidFill>
                              <w14:schemeClr w14:val="tx1"/>
                            </w14:solidFill>
                          </w14:textFill>
                        </w:rPr>
                        <w:t>“Dr. Faustino Pérez Hernández”</w:t>
                      </w:r>
                    </w:p>
                  </w:txbxContent>
                </v:textbox>
              </v:shape>
            </w:pict>
          </mc:Fallback>
        </mc:AlternateContent>
      </w:r>
      <w:r>
        <w:rPr>
          <w:rFonts w:ascii="Arial" w:hAnsi="Arial" w:cs="Arial"/>
          <w:color w:val="000000" w:themeColor="text1"/>
          <w:sz w:val="32"/>
          <w:szCs w:val="28"/>
          <w:lang w:eastAsia="es-ES"/>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page">
                  <wp:posOffset>409575</wp:posOffset>
                </wp:positionH>
                <wp:positionV relativeFrom="page">
                  <wp:posOffset>9525</wp:posOffset>
                </wp:positionV>
                <wp:extent cx="90805" cy="10542905"/>
                <wp:effectExtent l="0" t="0" r="23495" b="11430"/>
                <wp:wrapNone/>
                <wp:docPr id="3" name="Rectángulo 9"/>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chemeClr val="accent6">
                              <a:lumMod val="50000"/>
                            </a:schemeClr>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9" o:spid="_x0000_s1026" o:spt="1" style="position:absolute;left:0pt;margin-left:32.25pt;margin-top:0.75pt;height:830.15pt;width:7.15pt;mso-position-horizontal-relative:page;mso-position-vertical-relative:page;z-index:251661312;mso-width-relative:page;mso-height-relative:page;mso-height-percent:1050;" fillcolor="#FFFFFF" filled="t" stroked="t" coordsize="21600,21600" o:allowincell="f" o:gfxdata="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h7/01AAAAAgBAAAPAAAAAAAAAAEAIAAAACIAAABkcnMv&#10;ZG93bnJldi54bWxQSwECFAAUAAAACACHTuJAOfeQv0ACAACWBAAADgAAAAAAAAABACAAAAAjAQAA&#10;ZHJzL2Uyb0RvYy54bWxQSwUGAAAAAAYABgBZAQAA1QUAAAAA&#10;">
                <v:fill on="t" focussize="0,0"/>
                <v:stroke color="#385723 [1609]" miterlimit="8" joinstyle="miter"/>
                <v:imagedata o:title=""/>
                <o:lock v:ext="edit" aspectratio="f"/>
              </v:rect>
            </w:pict>
          </mc:Fallback>
        </mc:AlternateContent>
      </w:r>
    </w:p>
    <w:p>
      <w:pPr>
        <w:tabs>
          <w:tab w:val="left" w:pos="3667"/>
        </w:tabs>
        <w:spacing w:after="200" w:line="276" w:lineRule="auto"/>
        <w:jc w:val="center"/>
        <w:rPr>
          <w:rFonts w:ascii="Arial" w:hAnsi="Arial" w:cs="Arial"/>
          <w:color w:val="000000" w:themeColor="text1"/>
          <w:sz w:val="32"/>
          <w:szCs w:val="28"/>
          <w14:textFill>
            <w14:solidFill>
              <w14:schemeClr w14:val="tx1"/>
            </w14:solidFill>
          </w14:textFill>
        </w:rPr>
      </w:pPr>
      <w:r>
        <w:rPr>
          <w:rFonts w:ascii="Arial" w:hAnsi="Arial" w:cs="Arial"/>
          <w:color w:val="C55A11" w:themeColor="accent2" w:themeShade="BF"/>
          <w:sz w:val="32"/>
          <w:szCs w:val="28"/>
          <w:lang w:eastAsia="es-ES"/>
        </w:rPr>
        <mc:AlternateContent>
          <mc:Choice Requires="wps">
            <w:drawing>
              <wp:anchor distT="0" distB="0" distL="114300" distR="114300" simplePos="0" relativeHeight="251659264" behindDoc="0" locked="0" layoutInCell="0" allowOverlap="1">
                <wp:simplePos x="0" y="0"/>
                <wp:positionH relativeFrom="page">
                  <wp:posOffset>-324485</wp:posOffset>
                </wp:positionH>
                <wp:positionV relativeFrom="page">
                  <wp:posOffset>8255</wp:posOffset>
                </wp:positionV>
                <wp:extent cx="8147685" cy="568960"/>
                <wp:effectExtent l="0" t="0" r="11430" b="21590"/>
                <wp:wrapNone/>
                <wp:docPr id="2" name="Rectángulo 10"/>
                <wp:cNvGraphicFramePr/>
                <a:graphic xmlns:a="http://schemas.openxmlformats.org/drawingml/2006/main">
                  <a:graphicData uri="http://schemas.microsoft.com/office/word/2010/wordprocessingShape">
                    <wps:wsp>
                      <wps:cNvSpPr>
                        <a:spLocks noChangeArrowheads="1"/>
                      </wps:cNvSpPr>
                      <wps:spPr bwMode="auto">
                        <a:xfrm>
                          <a:off x="0" y="0"/>
                          <a:ext cx="8147685" cy="568960"/>
                        </a:xfrm>
                        <a:prstGeom prst="rect">
                          <a:avLst/>
                        </a:prstGeom>
                        <a:solidFill>
                          <a:schemeClr val="accent6">
                            <a:lumMod val="50000"/>
                          </a:schemeClr>
                        </a:solidFill>
                        <a:ln w="9525">
                          <a:solidFill>
                            <a:schemeClr val="accent6">
                              <a:lumMod val="50000"/>
                            </a:schemeClr>
                          </a:solidFill>
                          <a:miter lim="800000"/>
                        </a:ln>
                      </wps:spPr>
                      <wps:bodyPr rot="0" vert="horz" wrap="square" lIns="91440" tIns="45720" rIns="91440" bIns="45720" anchor="t" anchorCtr="0" upright="1">
                        <a:noAutofit/>
                      </wps:bodyPr>
                    </wps:wsp>
                  </a:graphicData>
                </a:graphic>
                <wp14:sizeRelH relativeFrom="page">
                  <wp14:pctWidth>105000</wp14:pctWidth>
                </wp14:sizeRelH>
                <wp14:sizeRelV relativeFrom="page">
                  <wp14:pctHeight>0</wp14:pctHeight>
                </wp14:sizeRelV>
              </wp:anchor>
            </w:drawing>
          </mc:Choice>
          <mc:Fallback>
            <w:pict>
              <v:rect id="Rectángulo 10" o:spid="_x0000_s1026" o:spt="1" style="position:absolute;left:0pt;margin-left:-25.55pt;margin-top:0.65pt;height:44.8pt;width:641.55pt;mso-position-horizontal-relative:page;mso-position-vertical-relative:page;z-index:251659264;mso-width-relative:page;mso-height-relative:page;mso-width-percent:1050;" fillcolor="#385723 [1609]" filled="t" stroked="t" coordsize="21600,21600" o:allowincell="f" o:gfxdata="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0RXpdUAAAAJAQAADwAAAAAAAAABACAAAAAiAAAAZHJz&#10;L2Rvd25yZXYueG1sUEsBAhQAFAAAAAgAh07iQEmYMfRAAgAAuQQAAA4AAAAAAAAAAQAgAAAAJAEA&#10;AGRycy9lMm9Eb2MueG1sUEsFBgAAAAAGAAYAWQEAANYFAAAAAA==&#10;">
                <v:fill on="t" focussize="0,0"/>
                <v:stroke color="#385723 [1609]" miterlimit="8" joinstyle="miter"/>
                <v:imagedata o:title=""/>
                <o:lock v:ext="edit" aspectratio="f"/>
              </v:rect>
            </w:pict>
          </mc:Fallback>
        </mc:AlternateContent>
      </w:r>
      <w:r>
        <w:rPr>
          <w:rFonts w:ascii="Arial" w:hAnsi="Arial" w:cs="Arial"/>
          <w:color w:val="000000" w:themeColor="text1"/>
          <w:sz w:val="32"/>
          <w:szCs w:val="28"/>
          <w:lang w:eastAsia="es-ES"/>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page">
                  <wp:posOffset>7010400</wp:posOffset>
                </wp:positionH>
                <wp:positionV relativeFrom="page">
                  <wp:posOffset>-114300</wp:posOffset>
                </wp:positionV>
                <wp:extent cx="90805" cy="10542905"/>
                <wp:effectExtent l="0" t="0" r="23495" b="11430"/>
                <wp:wrapNone/>
                <wp:docPr id="9" name="Rectángulo 9"/>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rgbClr val="1F497D">
                              <a:lumMod val="75000"/>
                            </a:srgbClr>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_x0000_s1026" o:spid="_x0000_s1026" o:spt="1" style="position:absolute;left:0pt;margin-left:552pt;margin-top:-9pt;height:830.15pt;width:7.15pt;mso-position-horizontal-relative:page;mso-position-vertical-relative:page;z-index:251660288;mso-width-relative:page;mso-height-relative:page;mso-height-percent:1050;" fillcolor="#FFFFFF" filled="t" stroked="t" coordsize="21600,21600" o:allowincell="f" o:gfxdata="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g+yPTaAAAADgEAAA8AAAAAAAAAAQAgAAAA&#10;IgAAAGRycy9kb3ducmV2LnhtbFBLAQIUABQAAAAIAIdO4kAHF+J/QgIAAJYEAAAOAAAAAAAAAAEA&#10;IAAAACkBAABkcnMvZTJvRG9jLnhtbFBLBQYAAAAABgAGAFkBAADdBQAAAAA=&#10;">
                <v:fill on="t" focussize="0,0"/>
                <v:stroke color="#17375E" miterlimit="8" joinstyle="miter"/>
                <v:imagedata o:title=""/>
                <o:lock v:ext="edit" aspectratio="f"/>
              </v:rect>
            </w:pict>
          </mc:Fallback>
        </mc:AlternateContent>
      </w:r>
      <w:r>
        <w:rPr>
          <w:sz w:val="32"/>
          <w:szCs w:val="28"/>
          <w:lang w:eastAsia="es-ES"/>
        </w:rPr>
        <w:t xml:space="preserve"> </w:t>
      </w:r>
    </w:p>
    <w:p>
      <w:pPr>
        <w:spacing w:after="200" w:line="360" w:lineRule="auto"/>
        <w:jc w:val="center"/>
        <w:rPr>
          <w:rFonts w:ascii="Arial" w:hAnsi="Arial" w:cs="Arial"/>
          <w:sz w:val="28"/>
          <w:szCs w:val="24"/>
          <w:u w:val="single"/>
        </w:rPr>
      </w:pPr>
    </w:p>
    <w:p>
      <w:pPr>
        <w:spacing w:after="200" w:line="360" w:lineRule="auto"/>
        <w:jc w:val="center"/>
        <w:rPr>
          <w:rFonts w:ascii="Arial" w:hAnsi="Arial" w:cs="Arial"/>
          <w:sz w:val="28"/>
          <w:szCs w:val="24"/>
          <w:u w:val="single"/>
        </w:rPr>
      </w:pPr>
    </w:p>
    <w:p>
      <w:pPr>
        <w:spacing w:after="200"/>
        <w:rPr>
          <w:rFonts w:ascii="Arial" w:hAnsi="Arial" w:cs="Arial"/>
          <w:b/>
          <w:sz w:val="28"/>
          <w:szCs w:val="32"/>
        </w:rPr>
      </w:pPr>
    </w:p>
    <w:p>
      <w:pPr>
        <w:spacing w:after="200"/>
        <w:jc w:val="center"/>
        <w:rPr>
          <w:rFonts w:ascii="Arial" w:hAnsi="Arial" w:cs="Arial"/>
          <w:b/>
          <w:sz w:val="28"/>
          <w:szCs w:val="32"/>
        </w:rPr>
      </w:pPr>
      <w:r>
        <w:rPr>
          <w:rFonts w:ascii="Arial" w:hAnsi="Arial" w:cs="Arial"/>
          <w:b/>
          <w:sz w:val="24"/>
          <w:lang w:eastAsia="es-ES"/>
        </w:rPr>
        <mc:AlternateContent>
          <mc:Choice Requires="wps">
            <w:drawing>
              <wp:anchor distT="0" distB="0" distL="114300" distR="114300" simplePos="0" relativeHeight="251664384" behindDoc="0" locked="0" layoutInCell="1" allowOverlap="1">
                <wp:simplePos x="0" y="0"/>
                <wp:positionH relativeFrom="column">
                  <wp:posOffset>-578485</wp:posOffset>
                </wp:positionH>
                <wp:positionV relativeFrom="paragraph">
                  <wp:posOffset>114935</wp:posOffset>
                </wp:positionV>
                <wp:extent cx="6350000" cy="542925"/>
                <wp:effectExtent l="0" t="0" r="0" b="0"/>
                <wp:wrapNone/>
                <wp:docPr id="4" name="3 Rectángulo"/>
                <wp:cNvGraphicFramePr/>
                <a:graphic xmlns:a="http://schemas.openxmlformats.org/drawingml/2006/main">
                  <a:graphicData uri="http://schemas.microsoft.com/office/word/2010/wordprocessingShape">
                    <wps:wsp>
                      <wps:cNvSpPr/>
                      <wps:spPr>
                        <a:xfrm>
                          <a:off x="0" y="0"/>
                          <a:ext cx="6350000" cy="542925"/>
                        </a:xfrm>
                        <a:prstGeom prst="rect">
                          <a:avLst/>
                        </a:prstGeom>
                      </wps:spPr>
                      <wps:txbx>
                        <w:txbxContent>
                          <w:p>
                            <w:pPr>
                              <w:jc w:val="center"/>
                              <w:rPr>
                                <w:rFonts w:ascii="Arial" w:hAnsi="Arial" w:cs="Arial"/>
                                <w:b/>
                                <w:sz w:val="40"/>
                              </w:rPr>
                            </w:pPr>
                            <w:r>
                              <w:rPr>
                                <w:b/>
                                <w:bCs/>
                                <w:sz w:val="56"/>
                                <w:szCs w:val="56"/>
                              </w:rPr>
                              <w:t>FORÚM CIENTIFICO ESTUDIANTIL 2023</w:t>
                            </w:r>
                            <w:r>
                              <w:rPr>
                                <w:rFonts w:ascii="Arial" w:hAnsi="Arial" w:cs="Arial"/>
                                <w:b/>
                                <w:sz w:val="40"/>
                              </w:rPr>
                              <w:t>.</w:t>
                            </w:r>
                          </w:p>
                          <w:p>
                            <w:pPr>
                              <w:pStyle w:val="6"/>
                              <w:spacing w:before="0" w:beforeAutospacing="0" w:after="0" w:afterAutospacing="0" w:line="276" w:lineRule="auto"/>
                              <w:jc w:val="center"/>
                              <w:rPr>
                                <w:rFonts w:ascii="Arial" w:hAnsi="Arial" w:cs="Arial"/>
                                <w:sz w:val="44"/>
                                <w:lang/>
                              </w:rPr>
                            </w:pPr>
                          </w:p>
                        </w:txbxContent>
                      </wps:txbx>
                      <wps:bodyPr wrap="square">
                        <a:noAutofit/>
                      </wps:bodyPr>
                    </wps:wsp>
                  </a:graphicData>
                </a:graphic>
              </wp:anchor>
            </w:drawing>
          </mc:Choice>
          <mc:Fallback>
            <w:pict>
              <v:rect id="3 Rectángulo" o:spid="_x0000_s1026" o:spt="1" style="position:absolute;left:0pt;margin-left:-45.55pt;margin-top:9.05pt;height:42.75pt;width:500pt;z-index:251664384;mso-width-relative:page;mso-height-relative:page;" filled="f" stroked="f" coordsize="21600,21600" o:gfxdata="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72v0o2gAAAAoBAAAPAAAAAAAA&#10;AAEAIAAAACIAAABkcnMvZG93bnJldi54bWxQSwECFAAUAAAACACHTuJARkyDK54BAAA/AwAADgAA&#10;AAAAAAABACAAAAApAQAAZHJzL2Uyb0RvYy54bWxQSwUGAAAAAAYABgBZAQAAOQUAAAAA&#10;">
                <v:fill on="f" focussize="0,0"/>
                <v:stroke on="f"/>
                <v:imagedata o:title=""/>
                <o:lock v:ext="edit" aspectratio="f"/>
                <v:textbox>
                  <w:txbxContent>
                    <w:p>
                      <w:pPr>
                        <w:jc w:val="center"/>
                        <w:rPr>
                          <w:rFonts w:ascii="Arial" w:hAnsi="Arial" w:cs="Arial"/>
                          <w:b/>
                          <w:sz w:val="40"/>
                        </w:rPr>
                      </w:pPr>
                      <w:r>
                        <w:rPr>
                          <w:b/>
                          <w:bCs/>
                          <w:sz w:val="56"/>
                          <w:szCs w:val="56"/>
                        </w:rPr>
                        <w:t>FORÚM CIENTIFICO ESTUDIANTIL 2023</w:t>
                      </w:r>
                      <w:r>
                        <w:rPr>
                          <w:rFonts w:ascii="Arial" w:hAnsi="Arial" w:cs="Arial"/>
                          <w:b/>
                          <w:sz w:val="40"/>
                        </w:rPr>
                        <w:t>.</w:t>
                      </w:r>
                    </w:p>
                    <w:p>
                      <w:pPr>
                        <w:pStyle w:val="6"/>
                        <w:spacing w:before="0" w:beforeAutospacing="0" w:after="0" w:afterAutospacing="0" w:line="276" w:lineRule="auto"/>
                        <w:jc w:val="center"/>
                        <w:rPr>
                          <w:rFonts w:ascii="Arial" w:hAnsi="Arial" w:cs="Arial"/>
                          <w:sz w:val="44"/>
                          <w:lang/>
                        </w:rPr>
                      </w:pPr>
                    </w:p>
                  </w:txbxContent>
                </v:textbox>
              </v:rect>
            </w:pict>
          </mc:Fallback>
        </mc:AlternateContent>
      </w:r>
    </w:p>
    <w:p>
      <w:pPr>
        <w:spacing w:after="200"/>
        <w:jc w:val="center"/>
        <w:rPr>
          <w:rFonts w:ascii="Arial" w:hAnsi="Arial" w:cs="Arial"/>
          <w:b/>
          <w:sz w:val="28"/>
          <w:szCs w:val="32"/>
        </w:rPr>
      </w:pPr>
    </w:p>
    <w:p>
      <w:pPr>
        <w:spacing w:after="200"/>
        <w:jc w:val="center"/>
        <w:rPr>
          <w:rFonts w:ascii="Arial" w:hAnsi="Arial" w:cs="Arial"/>
          <w:b/>
          <w:sz w:val="28"/>
          <w:szCs w:val="32"/>
        </w:rPr>
      </w:pPr>
    </w:p>
    <w:p>
      <w:pPr>
        <w:pStyle w:val="8"/>
        <w:rPr>
          <w:lang w:val="es-ES"/>
        </w:rPr>
      </w:pPr>
      <w:r>
        <w:rPr>
          <w:rFonts w:ascii="Arial" w:hAnsi="Arial" w:cs="Arial"/>
          <w:b/>
          <w:lang w:val="es-ES" w:eastAsia="es-ES"/>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210185</wp:posOffset>
                </wp:positionV>
                <wp:extent cx="5542280" cy="1753870"/>
                <wp:effectExtent l="0" t="0" r="20955" b="21590"/>
                <wp:wrapNone/>
                <wp:docPr id="18" name="3 CuadroTexto"/>
                <wp:cNvGraphicFramePr/>
                <a:graphic xmlns:a="http://schemas.openxmlformats.org/drawingml/2006/main">
                  <a:graphicData uri="http://schemas.microsoft.com/office/word/2010/wordprocessingShape">
                    <wps:wsp>
                      <wps:cNvSpPr txBox="1"/>
                      <wps:spPr>
                        <a:xfrm>
                          <a:off x="0" y="0"/>
                          <a:ext cx="5542059" cy="1753870"/>
                        </a:xfrm>
                        <a:prstGeom prst="rect">
                          <a:avLst/>
                        </a:prstGeom>
                        <a:noFill/>
                        <a:ln>
                          <a:solidFill>
                            <a:schemeClr val="tx2"/>
                          </a:solidFill>
                        </a:ln>
                      </wps:spPr>
                      <wps:txbx>
                        <w:txbxContent>
                          <w:p>
                            <w:pPr>
                              <w:pStyle w:val="6"/>
                              <w:spacing w:before="0" w:beforeAutospacing="0" w:after="0" w:afterAutospacing="0"/>
                              <w:jc w:val="center"/>
                              <w:rPr>
                                <w:rFonts w:hAnsi="Calibri" w:asciiTheme="minorHAnsi" w:cstheme="minorBidi"/>
                                <w:color w:val="000000" w:themeColor="text1"/>
                                <w:kern w:val="24"/>
                                <w:sz w:val="48"/>
                                <w:szCs w:val="36"/>
                                <w14:textFill>
                                  <w14:solidFill>
                                    <w14:schemeClr w14:val="tx1"/>
                                  </w14:solidFill>
                                </w14:textFill>
                              </w:rPr>
                            </w:pPr>
                            <w:r>
                              <w:rPr>
                                <w:rFonts w:hAnsi="Calibri" w:asciiTheme="minorHAnsi" w:cstheme="minorBidi"/>
                                <w:color w:val="000000" w:themeColor="text1"/>
                                <w:kern w:val="24"/>
                                <w:sz w:val="48"/>
                                <w:szCs w:val="36"/>
                                <w14:textFill>
                                  <w14:solidFill>
                                    <w14:schemeClr w14:val="tx1"/>
                                  </w14:solidFill>
                                </w14:textFill>
                              </w:rPr>
                              <w:t xml:space="preserve">Pancreatitis aguda en pacientes ingresados en la Unidad de Cuidados Intensivos </w:t>
                            </w:r>
                          </w:p>
                        </w:txbxContent>
                      </wps:txbx>
                      <wps:bodyPr wrap="square" rtlCol="0">
                        <a:spAutoFit/>
                      </wps:bodyPr>
                    </wps:wsp>
                  </a:graphicData>
                </a:graphic>
              </wp:anchor>
            </w:drawing>
          </mc:Choice>
          <mc:Fallback>
            <w:pict>
              <v:shape id="3 CuadroTexto" o:spid="_x0000_s1026" o:spt="202" type="#_x0000_t202" style="position:absolute;left:0pt;margin-top:16.55pt;height:138.1pt;width:436.4pt;mso-position-horizontal:right;mso-position-horizontal-relative:margin;z-index:251667456;mso-width-relative:page;mso-height-relative:page;" filled="f" stroked="t" coordsize="21600,21600" o:gfxdata="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Z42c2AAAAAcBAAAPAAAAAAAAAAEAIAAAACIA&#10;AABkcnMvZG93bnJldi54bWxQSwECFAAUAAAACACHTuJAb/uTk9ABAACiAwAADgAAAAAAAAABACAA&#10;AAAnAQAAZHJzL2Uyb0RvYy54bWxQSwUGAAAAAAYABgBZAQAAaQUAAAAA&#10;">
                <v:fill on="f" focussize="0,0"/>
                <v:stroke color="#44546A [3215]" joinstyle="round"/>
                <v:imagedata o:title=""/>
                <o:lock v:ext="edit" aspectratio="f"/>
                <v:textbox style="mso-fit-shape-to-text:t;">
                  <w:txbxContent>
                    <w:p>
                      <w:pPr>
                        <w:pStyle w:val="6"/>
                        <w:spacing w:before="0" w:beforeAutospacing="0" w:after="0" w:afterAutospacing="0"/>
                        <w:jc w:val="center"/>
                        <w:rPr>
                          <w:rFonts w:hAnsi="Calibri" w:asciiTheme="minorHAnsi" w:cstheme="minorBidi"/>
                          <w:color w:val="000000" w:themeColor="text1"/>
                          <w:kern w:val="24"/>
                          <w:sz w:val="48"/>
                          <w:szCs w:val="36"/>
                          <w14:textFill>
                            <w14:solidFill>
                              <w14:schemeClr w14:val="tx1"/>
                            </w14:solidFill>
                          </w14:textFill>
                        </w:rPr>
                      </w:pPr>
                      <w:r>
                        <w:rPr>
                          <w:rFonts w:hAnsi="Calibri" w:asciiTheme="minorHAnsi" w:cstheme="minorBidi"/>
                          <w:color w:val="000000" w:themeColor="text1"/>
                          <w:kern w:val="24"/>
                          <w:sz w:val="48"/>
                          <w:szCs w:val="36"/>
                          <w14:textFill>
                            <w14:solidFill>
                              <w14:schemeClr w14:val="tx1"/>
                            </w14:solidFill>
                          </w14:textFill>
                        </w:rPr>
                        <w:t xml:space="preserve">Pancreatitis aguda en pacientes ingresados en la Unidad de Cuidados Intensivos </w:t>
                      </w:r>
                    </w:p>
                  </w:txbxContent>
                </v:textbox>
              </v:shape>
            </w:pict>
          </mc:Fallback>
        </mc:AlternateContent>
      </w:r>
      <w:bookmarkStart w:id="0" w:name="_GoBack"/>
      <w:bookmarkEnd w:id="0"/>
      <w:r>
        <w:rPr>
          <w:lang w:val="es-ES" w:eastAsia="es-ES"/>
        </w:rPr>
        <mc:AlternateContent>
          <mc:Choice Requires="wps">
            <w:drawing>
              <wp:anchor distT="0" distB="0" distL="114300" distR="114300" simplePos="0" relativeHeight="251665408" behindDoc="0" locked="0" layoutInCell="1" allowOverlap="1">
                <wp:simplePos x="0" y="0"/>
                <wp:positionH relativeFrom="column">
                  <wp:posOffset>-432435</wp:posOffset>
                </wp:positionH>
                <wp:positionV relativeFrom="paragraph">
                  <wp:posOffset>1465580</wp:posOffset>
                </wp:positionV>
                <wp:extent cx="6257925" cy="3416300"/>
                <wp:effectExtent l="0" t="0" r="0" b="0"/>
                <wp:wrapNone/>
                <wp:docPr id="6" name="4 CuadroTexto"/>
                <wp:cNvGraphicFramePr/>
                <a:graphic xmlns:a="http://schemas.openxmlformats.org/drawingml/2006/main">
                  <a:graphicData uri="http://schemas.microsoft.com/office/word/2010/wordprocessingShape">
                    <wps:wsp>
                      <wps:cNvSpPr txBox="1"/>
                      <wps:spPr>
                        <a:xfrm>
                          <a:off x="0" y="0"/>
                          <a:ext cx="6257925" cy="3416300"/>
                        </a:xfrm>
                        <a:prstGeom prst="rect">
                          <a:avLst/>
                        </a:prstGeom>
                        <a:noFill/>
                      </wps:spPr>
                      <wps:txbx>
                        <w:txbxContent>
                          <w:p>
                            <w:pPr>
                              <w:pStyle w:val="6"/>
                              <w:spacing w:before="0" w:beforeAutospacing="0" w:after="0" w:afterAutospacing="0"/>
                              <w:rPr>
                                <w:rFonts w:ascii="Calibri" w:hAnsi="Calibri" w:cs="Calibri"/>
                                <w:b/>
                                <w:sz w:val="32"/>
                                <w:szCs w:val="36"/>
                              </w:rPr>
                            </w:pPr>
                            <w:r>
                              <w:rPr>
                                <w:rFonts w:ascii="Calibri" w:hAnsi="Calibri" w:cs="Calibri"/>
                                <w:b/>
                                <w:color w:val="000000" w:themeColor="text1"/>
                                <w:kern w:val="24"/>
                                <w:sz w:val="32"/>
                                <w:szCs w:val="36"/>
                                <w14:textFill>
                                  <w14:solidFill>
                                    <w14:schemeClr w14:val="tx1"/>
                                  </w14:solidFill>
                                </w14:textFill>
                              </w:rPr>
                              <w:t xml:space="preserve">Autores: </w:t>
                            </w:r>
                          </w:p>
                          <w:p>
                            <w:pPr>
                              <w:pStyle w:val="9"/>
                              <w:numPr>
                                <w:ilvl w:val="0"/>
                                <w:numId w:val="1"/>
                              </w:numPr>
                              <w:spacing w:line="360" w:lineRule="auto"/>
                              <w:contextualSpacing/>
                              <w:rPr>
                                <w:rFonts w:ascii="Calibri" w:hAnsi="Calibri" w:cs="Calibri"/>
                                <w:sz w:val="32"/>
                                <w:szCs w:val="36"/>
                                <w:lang w:val="es-ES"/>
                              </w:rPr>
                            </w:pPr>
                            <w:r>
                              <w:rPr>
                                <w:rFonts w:ascii="Calibri" w:hAnsi="Calibri" w:cs="Calibri"/>
                                <w:sz w:val="32"/>
                                <w:szCs w:val="36"/>
                              </w:rPr>
                              <w:t>Carlos Alejandro Lizama Claro</w:t>
                            </w:r>
                            <w:r>
                              <w:rPr>
                                <w:rFonts w:ascii="Calibri" w:hAnsi="Calibri" w:cs="Calibri"/>
                                <w:color w:val="000000" w:themeColor="text1"/>
                                <w:kern w:val="24"/>
                                <w:sz w:val="32"/>
                                <w:szCs w:val="36"/>
                                <w14:textFill>
                                  <w14:solidFill>
                                    <w14:schemeClr w14:val="tx1"/>
                                  </w14:solidFill>
                                </w14:textFill>
                              </w:rPr>
                              <w:t>.</w:t>
                            </w:r>
                            <w:r>
                              <w:rPr>
                                <w:rFonts w:ascii="Calibri" w:hAnsi="Calibri" w:cs="Calibri"/>
                                <w:color w:val="000000" w:themeColor="text1"/>
                                <w:kern w:val="24"/>
                                <w:sz w:val="32"/>
                                <w:szCs w:val="36"/>
                                <w:vertAlign w:val="superscript"/>
                                <w14:textFill>
                                  <w14:solidFill>
                                    <w14:schemeClr w14:val="tx1"/>
                                  </w14:solidFill>
                                </w14:textFill>
                              </w:rPr>
                              <w:t>1</w:t>
                            </w:r>
                            <w:r>
                              <w:rPr>
                                <w:rFonts w:ascii="Calibri" w:hAnsi="Calibri" w:cs="Calibri"/>
                                <w:color w:val="000000" w:themeColor="text1"/>
                                <w:kern w:val="24"/>
                                <w:sz w:val="32"/>
                                <w:szCs w:val="36"/>
                                <w14:textFill>
                                  <w14:solidFill>
                                    <w14:schemeClr w14:val="tx1"/>
                                  </w14:solidFill>
                                </w14:textFill>
                              </w:rPr>
                              <w:t xml:space="preserve">  </w:t>
                            </w:r>
                          </w:p>
                          <w:p>
                            <w:pPr>
                              <w:pStyle w:val="6"/>
                              <w:spacing w:before="0" w:beforeAutospacing="0" w:after="0" w:afterAutospacing="0" w:line="360" w:lineRule="auto"/>
                              <w:rPr>
                                <w:rFonts w:ascii="Calibri" w:hAnsi="Calibri" w:cs="Calibri"/>
                                <w:sz w:val="32"/>
                                <w:szCs w:val="36"/>
                              </w:rPr>
                            </w:pPr>
                            <w:r>
                              <w:rPr>
                                <w:rFonts w:ascii="Calibri" w:hAnsi="Calibri" w:cs="Calibri"/>
                                <w:b/>
                                <w:color w:val="000000" w:themeColor="text1"/>
                                <w:kern w:val="24"/>
                                <w:sz w:val="32"/>
                                <w:szCs w:val="36"/>
                                <w14:textFill>
                                  <w14:solidFill>
                                    <w14:schemeClr w14:val="tx1"/>
                                  </w14:solidFill>
                                </w14:textFill>
                              </w:rPr>
                              <w:t>Tutor</w:t>
                            </w:r>
                            <w:r>
                              <w:rPr>
                                <w:rFonts w:ascii="Calibri" w:hAnsi="Calibri" w:cs="Calibri"/>
                                <w:color w:val="000000" w:themeColor="text1"/>
                                <w:kern w:val="24"/>
                                <w:sz w:val="32"/>
                                <w:szCs w:val="36"/>
                                <w14:textFill>
                                  <w14:solidFill>
                                    <w14:schemeClr w14:val="tx1"/>
                                  </w14:solidFill>
                                </w14:textFill>
                              </w:rPr>
                              <w:t>:</w:t>
                            </w:r>
                          </w:p>
                          <w:p>
                            <w:pPr>
                              <w:pStyle w:val="9"/>
                              <w:numPr>
                                <w:ilvl w:val="0"/>
                                <w:numId w:val="2"/>
                              </w:numPr>
                              <w:spacing w:after="0" w:line="360" w:lineRule="auto"/>
                              <w:contextualSpacing/>
                              <w:rPr>
                                <w:rFonts w:ascii="Calibri" w:hAnsi="Calibri" w:cs="Calibri"/>
                                <w:color w:val="000000" w:themeColor="text1"/>
                                <w:kern w:val="24"/>
                                <w:sz w:val="32"/>
                                <w:szCs w:val="36"/>
                                <w:vertAlign w:val="superscript"/>
                                <w14:textFill>
                                  <w14:solidFill>
                                    <w14:schemeClr w14:val="tx1"/>
                                  </w14:solidFill>
                                </w14:textFill>
                              </w:rPr>
                            </w:pPr>
                            <w:r>
                              <w:rPr>
                                <w:rFonts w:ascii="Calibri" w:hAnsi="Calibri" w:cs="Calibri"/>
                                <w:color w:val="000000" w:themeColor="text1"/>
                                <w:kern w:val="24"/>
                                <w:sz w:val="32"/>
                                <w:szCs w:val="36"/>
                                <w14:textFill>
                                  <w14:solidFill>
                                    <w14:schemeClr w14:val="tx1"/>
                                  </w14:solidFill>
                                </w14:textFill>
                              </w:rPr>
                              <w:t xml:space="preserve">Dr. </w:t>
                            </w:r>
                            <w:r>
                              <w:rPr>
                                <w:rFonts w:hint="default" w:ascii="Calibri" w:hAnsi="Calibri" w:cs="Calibri"/>
                                <w:color w:val="000000" w:themeColor="text1"/>
                                <w:kern w:val="24"/>
                                <w:sz w:val="32"/>
                                <w:szCs w:val="36"/>
                                <w:lang w:val="es-ES"/>
                                <w14:textFill>
                                  <w14:solidFill>
                                    <w14:schemeClr w14:val="tx1"/>
                                  </w14:solidFill>
                                </w14:textFill>
                              </w:rPr>
                              <w:t>Luisney Ferrer Muñoz</w:t>
                            </w:r>
                            <w:r>
                              <w:rPr>
                                <w:rFonts w:ascii="Calibri" w:hAnsi="Calibri" w:cs="Calibri"/>
                                <w:color w:val="000000" w:themeColor="text1"/>
                                <w:kern w:val="24"/>
                                <w:sz w:val="32"/>
                                <w:szCs w:val="36"/>
                                <w14:textFill>
                                  <w14:solidFill>
                                    <w14:schemeClr w14:val="tx1"/>
                                  </w14:solidFill>
                                </w14:textFill>
                              </w:rPr>
                              <w:t>.</w:t>
                            </w:r>
                            <w:r>
                              <w:rPr>
                                <w:rFonts w:ascii="Calibri" w:hAnsi="Calibri" w:cs="Calibri"/>
                                <w:color w:val="000000" w:themeColor="text1"/>
                                <w:kern w:val="24"/>
                                <w:sz w:val="32"/>
                                <w:szCs w:val="36"/>
                                <w:vertAlign w:val="superscript"/>
                                <w14:textFill>
                                  <w14:solidFill>
                                    <w14:schemeClr w14:val="tx1"/>
                                  </w14:solidFill>
                                </w14:textFill>
                              </w:rPr>
                              <w:t xml:space="preserve">2  </w:t>
                            </w:r>
                          </w:p>
                          <w:p>
                            <w:pPr>
                              <w:pStyle w:val="6"/>
                              <w:numPr>
                                <w:ilvl w:val="0"/>
                                <w:numId w:val="3"/>
                              </w:numPr>
                              <w:spacing w:before="0" w:beforeAutospacing="0" w:after="0" w:afterAutospacing="0" w:line="360" w:lineRule="auto"/>
                              <w:rPr>
                                <w:rFonts w:ascii="Calibri" w:hAnsi="Calibri" w:cs="Calibri"/>
                                <w:sz w:val="32"/>
                                <w:szCs w:val="36"/>
                              </w:rPr>
                            </w:pPr>
                            <w:r>
                              <w:rPr>
                                <w:rFonts w:ascii="Calibri" w:hAnsi="Calibri" w:cs="Calibri"/>
                                <w:color w:val="000000" w:themeColor="text1"/>
                                <w:kern w:val="24"/>
                                <w:sz w:val="32"/>
                                <w:szCs w:val="36"/>
                                <w14:textFill>
                                  <w14:solidFill>
                                    <w14:schemeClr w14:val="tx1"/>
                                  </w14:solidFill>
                                </w14:textFill>
                              </w:rPr>
                              <w:t>Estudiante de 2do Año de la Carrera de Medicina, alumno ayudante en Medicina Intensiva y Emergencia.</w:t>
                            </w:r>
                          </w:p>
                          <w:p>
                            <w:pPr>
                              <w:pStyle w:val="6"/>
                              <w:numPr>
                                <w:ilvl w:val="0"/>
                                <w:numId w:val="3"/>
                              </w:numPr>
                              <w:spacing w:before="0" w:beforeAutospacing="0" w:after="0" w:afterAutospacing="0" w:line="360" w:lineRule="auto"/>
                              <w:rPr>
                                <w:rFonts w:ascii="Calibri" w:hAnsi="Calibri" w:cs="Calibri"/>
                                <w:sz w:val="32"/>
                                <w:szCs w:val="36"/>
                              </w:rPr>
                            </w:pPr>
                            <w:r>
                              <w:rPr>
                                <w:rFonts w:ascii="Calibri" w:hAnsi="Calibri" w:cs="Calibri"/>
                                <w:sz w:val="32"/>
                                <w:szCs w:val="36"/>
                              </w:rPr>
                              <w:t xml:space="preserve">Especialista en Primer Grado en Medicina Intensiva y Emergencia. </w:t>
                            </w:r>
                          </w:p>
                        </w:txbxContent>
                      </wps:txbx>
                      <wps:bodyPr wrap="square" rtlCol="0">
                        <a:spAutoFit/>
                      </wps:bodyPr>
                    </wps:wsp>
                  </a:graphicData>
                </a:graphic>
              </wp:anchor>
            </w:drawing>
          </mc:Choice>
          <mc:Fallback>
            <w:pict>
              <v:shape id="4 CuadroTexto" o:spid="_x0000_s1026" o:spt="202" type="#_x0000_t202" style="position:absolute;left:0pt;margin-left:-34.05pt;margin-top:115.4pt;height:269pt;width:492.75pt;z-index:251665408;mso-width-relative:page;mso-height-relative:page;" filled="f" stroked="f" coordsize="21600,21600" o:gfxdata="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RN&#10;6ffZAAAACwEAAA8AAAAAAAAAAQAgAAAAIgAAAGRycy9kb3ducmV2LnhtbFBLAQIUABQAAAAIAIdO&#10;4kAWb0ZWsAEAAGADAAAOAAAAAAAAAAEAIAAAACgBAABkcnMvZTJvRG9jLnhtbFBLBQYAAAAABgAG&#10;AFkBAABKBQAAAAA=&#10;">
                <v:fill on="f" focussize="0,0"/>
                <v:stroke on="f"/>
                <v:imagedata o:title=""/>
                <o:lock v:ext="edit" aspectratio="f"/>
                <v:textbox style="mso-fit-shape-to-text:t;">
                  <w:txbxContent>
                    <w:p>
                      <w:pPr>
                        <w:pStyle w:val="6"/>
                        <w:spacing w:before="0" w:beforeAutospacing="0" w:after="0" w:afterAutospacing="0"/>
                        <w:rPr>
                          <w:rFonts w:ascii="Calibri" w:hAnsi="Calibri" w:cs="Calibri"/>
                          <w:b/>
                          <w:sz w:val="32"/>
                          <w:szCs w:val="36"/>
                        </w:rPr>
                      </w:pPr>
                      <w:r>
                        <w:rPr>
                          <w:rFonts w:ascii="Calibri" w:hAnsi="Calibri" w:cs="Calibri"/>
                          <w:b/>
                          <w:color w:val="000000" w:themeColor="text1"/>
                          <w:kern w:val="24"/>
                          <w:sz w:val="32"/>
                          <w:szCs w:val="36"/>
                          <w14:textFill>
                            <w14:solidFill>
                              <w14:schemeClr w14:val="tx1"/>
                            </w14:solidFill>
                          </w14:textFill>
                        </w:rPr>
                        <w:t xml:space="preserve">Autores: </w:t>
                      </w:r>
                    </w:p>
                    <w:p>
                      <w:pPr>
                        <w:pStyle w:val="9"/>
                        <w:numPr>
                          <w:ilvl w:val="0"/>
                          <w:numId w:val="1"/>
                        </w:numPr>
                        <w:spacing w:line="360" w:lineRule="auto"/>
                        <w:contextualSpacing/>
                        <w:rPr>
                          <w:rFonts w:ascii="Calibri" w:hAnsi="Calibri" w:cs="Calibri"/>
                          <w:sz w:val="32"/>
                          <w:szCs w:val="36"/>
                          <w:lang w:val="es-ES"/>
                        </w:rPr>
                      </w:pPr>
                      <w:r>
                        <w:rPr>
                          <w:rFonts w:ascii="Calibri" w:hAnsi="Calibri" w:cs="Calibri"/>
                          <w:sz w:val="32"/>
                          <w:szCs w:val="36"/>
                        </w:rPr>
                        <w:t>Carlos Alejandro Lizama Claro</w:t>
                      </w:r>
                      <w:r>
                        <w:rPr>
                          <w:rFonts w:ascii="Calibri" w:hAnsi="Calibri" w:cs="Calibri"/>
                          <w:color w:val="000000" w:themeColor="text1"/>
                          <w:kern w:val="24"/>
                          <w:sz w:val="32"/>
                          <w:szCs w:val="36"/>
                          <w14:textFill>
                            <w14:solidFill>
                              <w14:schemeClr w14:val="tx1"/>
                            </w14:solidFill>
                          </w14:textFill>
                        </w:rPr>
                        <w:t>.</w:t>
                      </w:r>
                      <w:r>
                        <w:rPr>
                          <w:rFonts w:ascii="Calibri" w:hAnsi="Calibri" w:cs="Calibri"/>
                          <w:color w:val="000000" w:themeColor="text1"/>
                          <w:kern w:val="24"/>
                          <w:sz w:val="32"/>
                          <w:szCs w:val="36"/>
                          <w:vertAlign w:val="superscript"/>
                          <w14:textFill>
                            <w14:solidFill>
                              <w14:schemeClr w14:val="tx1"/>
                            </w14:solidFill>
                          </w14:textFill>
                        </w:rPr>
                        <w:t>1</w:t>
                      </w:r>
                      <w:r>
                        <w:rPr>
                          <w:rFonts w:ascii="Calibri" w:hAnsi="Calibri" w:cs="Calibri"/>
                          <w:color w:val="000000" w:themeColor="text1"/>
                          <w:kern w:val="24"/>
                          <w:sz w:val="32"/>
                          <w:szCs w:val="36"/>
                          <w14:textFill>
                            <w14:solidFill>
                              <w14:schemeClr w14:val="tx1"/>
                            </w14:solidFill>
                          </w14:textFill>
                        </w:rPr>
                        <w:t xml:space="preserve">  </w:t>
                      </w:r>
                    </w:p>
                    <w:p>
                      <w:pPr>
                        <w:pStyle w:val="6"/>
                        <w:spacing w:before="0" w:beforeAutospacing="0" w:after="0" w:afterAutospacing="0" w:line="360" w:lineRule="auto"/>
                        <w:rPr>
                          <w:rFonts w:ascii="Calibri" w:hAnsi="Calibri" w:cs="Calibri"/>
                          <w:sz w:val="32"/>
                          <w:szCs w:val="36"/>
                        </w:rPr>
                      </w:pPr>
                      <w:r>
                        <w:rPr>
                          <w:rFonts w:ascii="Calibri" w:hAnsi="Calibri" w:cs="Calibri"/>
                          <w:b/>
                          <w:color w:val="000000" w:themeColor="text1"/>
                          <w:kern w:val="24"/>
                          <w:sz w:val="32"/>
                          <w:szCs w:val="36"/>
                          <w14:textFill>
                            <w14:solidFill>
                              <w14:schemeClr w14:val="tx1"/>
                            </w14:solidFill>
                          </w14:textFill>
                        </w:rPr>
                        <w:t>Tutor</w:t>
                      </w:r>
                      <w:r>
                        <w:rPr>
                          <w:rFonts w:ascii="Calibri" w:hAnsi="Calibri" w:cs="Calibri"/>
                          <w:color w:val="000000" w:themeColor="text1"/>
                          <w:kern w:val="24"/>
                          <w:sz w:val="32"/>
                          <w:szCs w:val="36"/>
                          <w14:textFill>
                            <w14:solidFill>
                              <w14:schemeClr w14:val="tx1"/>
                            </w14:solidFill>
                          </w14:textFill>
                        </w:rPr>
                        <w:t>:</w:t>
                      </w:r>
                    </w:p>
                    <w:p>
                      <w:pPr>
                        <w:pStyle w:val="9"/>
                        <w:numPr>
                          <w:ilvl w:val="0"/>
                          <w:numId w:val="2"/>
                        </w:numPr>
                        <w:spacing w:after="0" w:line="360" w:lineRule="auto"/>
                        <w:contextualSpacing/>
                        <w:rPr>
                          <w:rFonts w:ascii="Calibri" w:hAnsi="Calibri" w:cs="Calibri"/>
                          <w:color w:val="000000" w:themeColor="text1"/>
                          <w:kern w:val="24"/>
                          <w:sz w:val="32"/>
                          <w:szCs w:val="36"/>
                          <w:vertAlign w:val="superscript"/>
                          <w14:textFill>
                            <w14:solidFill>
                              <w14:schemeClr w14:val="tx1"/>
                            </w14:solidFill>
                          </w14:textFill>
                        </w:rPr>
                      </w:pPr>
                      <w:r>
                        <w:rPr>
                          <w:rFonts w:ascii="Calibri" w:hAnsi="Calibri" w:cs="Calibri"/>
                          <w:color w:val="000000" w:themeColor="text1"/>
                          <w:kern w:val="24"/>
                          <w:sz w:val="32"/>
                          <w:szCs w:val="36"/>
                          <w14:textFill>
                            <w14:solidFill>
                              <w14:schemeClr w14:val="tx1"/>
                            </w14:solidFill>
                          </w14:textFill>
                        </w:rPr>
                        <w:t xml:space="preserve">Dr. </w:t>
                      </w:r>
                      <w:r>
                        <w:rPr>
                          <w:rFonts w:hint="default" w:ascii="Calibri" w:hAnsi="Calibri" w:cs="Calibri"/>
                          <w:color w:val="000000" w:themeColor="text1"/>
                          <w:kern w:val="24"/>
                          <w:sz w:val="32"/>
                          <w:szCs w:val="36"/>
                          <w:lang w:val="es-ES"/>
                          <w14:textFill>
                            <w14:solidFill>
                              <w14:schemeClr w14:val="tx1"/>
                            </w14:solidFill>
                          </w14:textFill>
                        </w:rPr>
                        <w:t>Luisney Ferrer Muñoz</w:t>
                      </w:r>
                      <w:r>
                        <w:rPr>
                          <w:rFonts w:ascii="Calibri" w:hAnsi="Calibri" w:cs="Calibri"/>
                          <w:color w:val="000000" w:themeColor="text1"/>
                          <w:kern w:val="24"/>
                          <w:sz w:val="32"/>
                          <w:szCs w:val="36"/>
                          <w14:textFill>
                            <w14:solidFill>
                              <w14:schemeClr w14:val="tx1"/>
                            </w14:solidFill>
                          </w14:textFill>
                        </w:rPr>
                        <w:t>.</w:t>
                      </w:r>
                      <w:r>
                        <w:rPr>
                          <w:rFonts w:ascii="Calibri" w:hAnsi="Calibri" w:cs="Calibri"/>
                          <w:color w:val="000000" w:themeColor="text1"/>
                          <w:kern w:val="24"/>
                          <w:sz w:val="32"/>
                          <w:szCs w:val="36"/>
                          <w:vertAlign w:val="superscript"/>
                          <w14:textFill>
                            <w14:solidFill>
                              <w14:schemeClr w14:val="tx1"/>
                            </w14:solidFill>
                          </w14:textFill>
                        </w:rPr>
                        <w:t xml:space="preserve">2  </w:t>
                      </w:r>
                    </w:p>
                    <w:p>
                      <w:pPr>
                        <w:pStyle w:val="6"/>
                        <w:numPr>
                          <w:ilvl w:val="0"/>
                          <w:numId w:val="3"/>
                        </w:numPr>
                        <w:spacing w:before="0" w:beforeAutospacing="0" w:after="0" w:afterAutospacing="0" w:line="360" w:lineRule="auto"/>
                        <w:rPr>
                          <w:rFonts w:ascii="Calibri" w:hAnsi="Calibri" w:cs="Calibri"/>
                          <w:sz w:val="32"/>
                          <w:szCs w:val="36"/>
                        </w:rPr>
                      </w:pPr>
                      <w:r>
                        <w:rPr>
                          <w:rFonts w:ascii="Calibri" w:hAnsi="Calibri" w:cs="Calibri"/>
                          <w:color w:val="000000" w:themeColor="text1"/>
                          <w:kern w:val="24"/>
                          <w:sz w:val="32"/>
                          <w:szCs w:val="36"/>
                          <w14:textFill>
                            <w14:solidFill>
                              <w14:schemeClr w14:val="tx1"/>
                            </w14:solidFill>
                          </w14:textFill>
                        </w:rPr>
                        <w:t>Estudiante de 2do Año de la Carrera de Medicina, alumno ayudante en Medicina Intensiva y Emergencia.</w:t>
                      </w:r>
                    </w:p>
                    <w:p>
                      <w:pPr>
                        <w:pStyle w:val="6"/>
                        <w:numPr>
                          <w:ilvl w:val="0"/>
                          <w:numId w:val="3"/>
                        </w:numPr>
                        <w:spacing w:before="0" w:beforeAutospacing="0" w:after="0" w:afterAutospacing="0" w:line="360" w:lineRule="auto"/>
                        <w:rPr>
                          <w:rFonts w:ascii="Calibri" w:hAnsi="Calibri" w:cs="Calibri"/>
                          <w:sz w:val="32"/>
                          <w:szCs w:val="36"/>
                        </w:rPr>
                      </w:pPr>
                      <w:r>
                        <w:rPr>
                          <w:rFonts w:ascii="Calibri" w:hAnsi="Calibri" w:cs="Calibri"/>
                          <w:sz w:val="32"/>
                          <w:szCs w:val="36"/>
                        </w:rPr>
                        <w:t xml:space="preserve">Especialista en Primer Grado en Medicina Intensiva y Emergencia. </w:t>
                      </w:r>
                    </w:p>
                  </w:txbxContent>
                </v:textbox>
              </v:shape>
            </w:pict>
          </mc:Fallback>
        </mc:AlternateContent>
      </w:r>
      <w:r>
        <w:rPr>
          <w:lang w:val="es-ES" w:eastAsia="es-ES"/>
        </w:rPr>
        <mc:AlternateContent>
          <mc:Choice Requires="wps">
            <w:drawing>
              <wp:anchor distT="0" distB="0" distL="114300" distR="114300" simplePos="0" relativeHeight="251663360" behindDoc="0" locked="0" layoutInCell="1" allowOverlap="1">
                <wp:simplePos x="0" y="0"/>
                <wp:positionH relativeFrom="column">
                  <wp:posOffset>167640</wp:posOffset>
                </wp:positionH>
                <wp:positionV relativeFrom="paragraph">
                  <wp:posOffset>4405630</wp:posOffset>
                </wp:positionV>
                <wp:extent cx="5067300" cy="1123950"/>
                <wp:effectExtent l="0" t="0" r="0" b="0"/>
                <wp:wrapNone/>
                <wp:docPr id="11" name="5 CuadroTexto"/>
                <wp:cNvGraphicFramePr/>
                <a:graphic xmlns:a="http://schemas.openxmlformats.org/drawingml/2006/main">
                  <a:graphicData uri="http://schemas.microsoft.com/office/word/2010/wordprocessingShape">
                    <wps:wsp>
                      <wps:cNvSpPr txBox="1"/>
                      <wps:spPr>
                        <a:xfrm>
                          <a:off x="0" y="0"/>
                          <a:ext cx="5067300" cy="1123950"/>
                        </a:xfrm>
                        <a:prstGeom prst="rect">
                          <a:avLst/>
                        </a:prstGeom>
                        <a:solidFill>
                          <a:schemeClr val="bg1"/>
                        </a:solidFill>
                      </wps:spPr>
                      <wps:txbx>
                        <w:txbxContent>
                          <w:p>
                            <w:pPr>
                              <w:pStyle w:val="6"/>
                              <w:spacing w:before="0" w:beforeAutospacing="0" w:after="0" w:afterAutospacing="0"/>
                              <w:jc w:val="center"/>
                              <w:rPr>
                                <w:rFonts w:ascii="Calibri" w:hAnsi="Calibri" w:cs="Calibri"/>
                                <w:b/>
                                <w:color w:val="000000" w:themeColor="text1"/>
                                <w:kern w:val="24"/>
                                <w:sz w:val="40"/>
                                <w:szCs w:val="40"/>
                                <w14:textFill>
                                  <w14:solidFill>
                                    <w14:schemeClr w14:val="tx1"/>
                                  </w14:solidFill>
                                </w14:textFill>
                              </w:rPr>
                            </w:pPr>
                            <w:r>
                              <w:rPr>
                                <w:rFonts w:ascii="Calibri" w:hAnsi="Calibri" w:cs="Calibri"/>
                                <w:b/>
                                <w:color w:val="000000" w:themeColor="text1"/>
                                <w:kern w:val="24"/>
                                <w:sz w:val="40"/>
                                <w:szCs w:val="40"/>
                                <w14:textFill>
                                  <w14:solidFill>
                                    <w14:schemeClr w14:val="tx1"/>
                                  </w14:solidFill>
                                </w14:textFill>
                              </w:rPr>
                              <w:t xml:space="preserve">“Año 65 de la Revolución”    </w:t>
                            </w:r>
                          </w:p>
                          <w:p>
                            <w:pPr>
                              <w:pStyle w:val="6"/>
                              <w:spacing w:before="0" w:beforeAutospacing="0" w:after="0" w:afterAutospacing="0"/>
                              <w:jc w:val="center"/>
                              <w:rPr>
                                <w:rFonts w:ascii="Calibri" w:hAnsi="Calibri" w:eastAsia="Calibri" w:cs="Calibri"/>
                                <w:b/>
                                <w:color w:val="000000" w:themeColor="text1"/>
                                <w:kern w:val="24"/>
                                <w:sz w:val="40"/>
                                <w:szCs w:val="40"/>
                                <w:lang/>
                                <w14:textFill>
                                  <w14:solidFill>
                                    <w14:schemeClr w14:val="tx1"/>
                                  </w14:solidFill>
                                </w14:textFill>
                              </w:rPr>
                            </w:pPr>
                            <w:r>
                              <w:rPr>
                                <w:rFonts w:ascii="Calibri" w:hAnsi="Calibri" w:cs="Calibri"/>
                                <w:b/>
                                <w:color w:val="000000" w:themeColor="text1"/>
                                <w:kern w:val="24"/>
                                <w:sz w:val="40"/>
                                <w:szCs w:val="40"/>
                                <w14:textFill>
                                  <w14:solidFill>
                                    <w14:schemeClr w14:val="tx1"/>
                                  </w14:solidFill>
                                </w14:textFill>
                              </w:rPr>
                              <w:t>Curso: 2022</w:t>
                            </w:r>
                            <w:r>
                              <w:rPr>
                                <w:rFonts w:ascii="Calibri" w:hAnsi="Calibri" w:eastAsia="Calibri" w:cs="Calibri"/>
                                <w:b/>
                                <w:color w:val="000000" w:themeColor="text1"/>
                                <w:kern w:val="24"/>
                                <w:sz w:val="40"/>
                                <w:szCs w:val="40"/>
                                <w:lang/>
                                <w14:textFill>
                                  <w14:solidFill>
                                    <w14:schemeClr w14:val="tx1"/>
                                  </w14:solidFill>
                                </w14:textFill>
                              </w:rPr>
                              <w:t xml:space="preserve"> -2023. </w:t>
                            </w:r>
                          </w:p>
                          <w:p>
                            <w:pPr>
                              <w:pStyle w:val="6"/>
                              <w:spacing w:before="0" w:beforeAutospacing="0" w:after="0" w:afterAutospacing="0"/>
                              <w:jc w:val="center"/>
                              <w:rPr>
                                <w:rFonts w:ascii="Arial" w:hAnsi="Arial" w:cs="Arial"/>
                                <w:sz w:val="40"/>
                                <w:szCs w:val="40"/>
                              </w:rPr>
                            </w:pPr>
                            <w:r>
                              <w:rPr>
                                <w:rFonts w:ascii="Calibri" w:hAnsi="Calibri" w:eastAsia="Calibri" w:cs="Calibri"/>
                                <w:b/>
                                <w:color w:val="000000" w:themeColor="text1"/>
                                <w:kern w:val="24"/>
                                <w:sz w:val="40"/>
                                <w:szCs w:val="40"/>
                                <w:lang/>
                                <w14:textFill>
                                  <w14:solidFill>
                                    <w14:schemeClr w14:val="tx1"/>
                                  </w14:solidFill>
                                </w14:textFill>
                              </w:rPr>
                              <w:t xml:space="preserve">Sancti Spíritus.                                                                                                                      </w:t>
                            </w:r>
                          </w:p>
                        </w:txbxContent>
                      </wps:txbx>
                      <wps:bodyPr wrap="square" rtlCol="0">
                        <a:noAutofit/>
                      </wps:bodyPr>
                    </wps:wsp>
                  </a:graphicData>
                </a:graphic>
              </wp:anchor>
            </w:drawing>
          </mc:Choice>
          <mc:Fallback>
            <w:pict>
              <v:shape id="5 CuadroTexto" o:spid="_x0000_s1026" o:spt="202" type="#_x0000_t202" style="position:absolute;left:0pt;margin-left:13.2pt;margin-top:346.9pt;height:88.5pt;width:399pt;z-index:251663360;mso-width-relative:page;mso-height-relative:page;" fillcolor="#FFFFFF [3212]" filled="t" stroked="f" coordsize="21600,21600" o:gfxdata="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Fcp542AAAAAoBAAAPAAAAAAAAAAEAIAAAACIAAABkcnMvZG93bnJl&#10;di54bWxQSwECFAAUAAAACACHTuJA1zFHO8QBAACKAwAADgAAAAAAAAABACAAAAAnAQAAZHJzL2Uy&#10;b0RvYy54bWxQSwUGAAAAAAYABgBZAQAAXQUAAAAA&#10;">
                <v:fill on="t" focussize="0,0"/>
                <v:stroke on="f"/>
                <v:imagedata o:title=""/>
                <o:lock v:ext="edit" aspectratio="f"/>
                <v:textbox>
                  <w:txbxContent>
                    <w:p>
                      <w:pPr>
                        <w:pStyle w:val="6"/>
                        <w:spacing w:before="0" w:beforeAutospacing="0" w:after="0" w:afterAutospacing="0"/>
                        <w:jc w:val="center"/>
                        <w:rPr>
                          <w:rFonts w:ascii="Calibri" w:hAnsi="Calibri" w:cs="Calibri"/>
                          <w:b/>
                          <w:color w:val="000000" w:themeColor="text1"/>
                          <w:kern w:val="24"/>
                          <w:sz w:val="40"/>
                          <w:szCs w:val="40"/>
                          <w14:textFill>
                            <w14:solidFill>
                              <w14:schemeClr w14:val="tx1"/>
                            </w14:solidFill>
                          </w14:textFill>
                        </w:rPr>
                      </w:pPr>
                      <w:r>
                        <w:rPr>
                          <w:rFonts w:ascii="Calibri" w:hAnsi="Calibri" w:cs="Calibri"/>
                          <w:b/>
                          <w:color w:val="000000" w:themeColor="text1"/>
                          <w:kern w:val="24"/>
                          <w:sz w:val="40"/>
                          <w:szCs w:val="40"/>
                          <w14:textFill>
                            <w14:solidFill>
                              <w14:schemeClr w14:val="tx1"/>
                            </w14:solidFill>
                          </w14:textFill>
                        </w:rPr>
                        <w:t xml:space="preserve">“Año 65 de la Revolución”    </w:t>
                      </w:r>
                    </w:p>
                    <w:p>
                      <w:pPr>
                        <w:pStyle w:val="6"/>
                        <w:spacing w:before="0" w:beforeAutospacing="0" w:after="0" w:afterAutospacing="0"/>
                        <w:jc w:val="center"/>
                        <w:rPr>
                          <w:rFonts w:ascii="Calibri" w:hAnsi="Calibri" w:eastAsia="Calibri" w:cs="Calibri"/>
                          <w:b/>
                          <w:color w:val="000000" w:themeColor="text1"/>
                          <w:kern w:val="24"/>
                          <w:sz w:val="40"/>
                          <w:szCs w:val="40"/>
                          <w:lang/>
                          <w14:textFill>
                            <w14:solidFill>
                              <w14:schemeClr w14:val="tx1"/>
                            </w14:solidFill>
                          </w14:textFill>
                        </w:rPr>
                      </w:pPr>
                      <w:r>
                        <w:rPr>
                          <w:rFonts w:ascii="Calibri" w:hAnsi="Calibri" w:cs="Calibri"/>
                          <w:b/>
                          <w:color w:val="000000" w:themeColor="text1"/>
                          <w:kern w:val="24"/>
                          <w:sz w:val="40"/>
                          <w:szCs w:val="40"/>
                          <w14:textFill>
                            <w14:solidFill>
                              <w14:schemeClr w14:val="tx1"/>
                            </w14:solidFill>
                          </w14:textFill>
                        </w:rPr>
                        <w:t>Curso: 2022</w:t>
                      </w:r>
                      <w:r>
                        <w:rPr>
                          <w:rFonts w:ascii="Calibri" w:hAnsi="Calibri" w:eastAsia="Calibri" w:cs="Calibri"/>
                          <w:b/>
                          <w:color w:val="000000" w:themeColor="text1"/>
                          <w:kern w:val="24"/>
                          <w:sz w:val="40"/>
                          <w:szCs w:val="40"/>
                          <w:lang/>
                          <w14:textFill>
                            <w14:solidFill>
                              <w14:schemeClr w14:val="tx1"/>
                            </w14:solidFill>
                          </w14:textFill>
                        </w:rPr>
                        <w:t xml:space="preserve"> -2023. </w:t>
                      </w:r>
                    </w:p>
                    <w:p>
                      <w:pPr>
                        <w:pStyle w:val="6"/>
                        <w:spacing w:before="0" w:beforeAutospacing="0" w:after="0" w:afterAutospacing="0"/>
                        <w:jc w:val="center"/>
                        <w:rPr>
                          <w:rFonts w:ascii="Arial" w:hAnsi="Arial" w:cs="Arial"/>
                          <w:sz w:val="40"/>
                          <w:szCs w:val="40"/>
                        </w:rPr>
                      </w:pPr>
                      <w:r>
                        <w:rPr>
                          <w:rFonts w:ascii="Calibri" w:hAnsi="Calibri" w:eastAsia="Calibri" w:cs="Calibri"/>
                          <w:b/>
                          <w:color w:val="000000" w:themeColor="text1"/>
                          <w:kern w:val="24"/>
                          <w:sz w:val="40"/>
                          <w:szCs w:val="40"/>
                          <w:lang/>
                          <w14:textFill>
                            <w14:solidFill>
                              <w14:schemeClr w14:val="tx1"/>
                            </w14:solidFill>
                          </w14:textFill>
                        </w:rPr>
                        <w:t xml:space="preserve">Sancti Spíritus.                                                                                                                      </w:t>
                      </w:r>
                    </w:p>
                  </w:txbxContent>
                </v:textbox>
              </v:shape>
            </w:pict>
          </mc:Fallback>
        </mc:AlternateContent>
      </w:r>
      <w:r>
        <w:rPr>
          <w:color w:val="C55A11" w:themeColor="accent2" w:themeShade="BF"/>
          <w:sz w:val="32"/>
          <w:szCs w:val="28"/>
          <w:lang w:val="es-ES" w:eastAsia="es-ES"/>
        </w:rPr>
        <mc:AlternateContent>
          <mc:Choice Requires="wps">
            <w:drawing>
              <wp:anchor distT="0" distB="0" distL="114300" distR="114300" simplePos="0" relativeHeight="251662336" behindDoc="0" locked="0" layoutInCell="0" allowOverlap="1">
                <wp:simplePos x="0" y="0"/>
                <wp:positionH relativeFrom="page">
                  <wp:posOffset>-133985</wp:posOffset>
                </wp:positionH>
                <wp:positionV relativeFrom="page">
                  <wp:posOffset>9476105</wp:posOffset>
                </wp:positionV>
                <wp:extent cx="8147685" cy="568960"/>
                <wp:effectExtent l="0" t="0" r="11430" b="21590"/>
                <wp:wrapNone/>
                <wp:docPr id="5" name="Rectángulo 10"/>
                <wp:cNvGraphicFramePr/>
                <a:graphic xmlns:a="http://schemas.openxmlformats.org/drawingml/2006/main">
                  <a:graphicData uri="http://schemas.microsoft.com/office/word/2010/wordprocessingShape">
                    <wps:wsp>
                      <wps:cNvSpPr>
                        <a:spLocks noChangeArrowheads="1"/>
                      </wps:cNvSpPr>
                      <wps:spPr bwMode="auto">
                        <a:xfrm>
                          <a:off x="0" y="0"/>
                          <a:ext cx="8147685" cy="568960"/>
                        </a:xfrm>
                        <a:prstGeom prst="rect">
                          <a:avLst/>
                        </a:prstGeom>
                        <a:solidFill>
                          <a:schemeClr val="accent6">
                            <a:lumMod val="50000"/>
                          </a:schemeClr>
                        </a:solidFill>
                        <a:ln w="9525">
                          <a:solidFill>
                            <a:schemeClr val="accent6">
                              <a:lumMod val="50000"/>
                            </a:schemeClr>
                          </a:solidFill>
                          <a:miter lim="800000"/>
                        </a:ln>
                      </wps:spPr>
                      <wps:bodyPr rot="0" vert="horz" wrap="square" lIns="91440" tIns="45720" rIns="91440" bIns="45720" anchor="t" anchorCtr="0" upright="1">
                        <a:noAutofit/>
                      </wps:bodyPr>
                    </wps:wsp>
                  </a:graphicData>
                </a:graphic>
                <wp14:sizeRelH relativeFrom="page">
                  <wp14:pctWidth>105000</wp14:pctWidth>
                </wp14:sizeRelH>
                <wp14:sizeRelV relativeFrom="page">
                  <wp14:pctHeight>0</wp14:pctHeight>
                </wp14:sizeRelV>
              </wp:anchor>
            </w:drawing>
          </mc:Choice>
          <mc:Fallback>
            <w:pict>
              <v:rect id="Rectángulo 10" o:spid="_x0000_s1026" o:spt="1" style="position:absolute;left:0pt;margin-left:-10.55pt;margin-top:746.15pt;height:44.8pt;width:641.55pt;mso-position-horizontal-relative:page;mso-position-vertical-relative:page;z-index:251662336;mso-width-relative:page;mso-height-relative:page;mso-width-percent:1050;" fillcolor="#385723 [1609]" filled="t" stroked="t" coordsize="21600,21600" o:allowincell="f" o:gfxdata="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PNCTDZAAAADgEAAA8AAAAAAAAAAQAgAAAAIgAA&#10;AGRycy9kb3ducmV2LnhtbFBLAQIUABQAAAAIAIdO4kAKEEJNQAIAALkEAAAOAAAAAAAAAAEAIAAA&#10;ACgBAABkcnMvZTJvRG9jLnhtbFBLBQYAAAAABgAGAFkBAADaBQAAAAA=&#10;">
                <v:fill on="t" focussize="0,0"/>
                <v:stroke color="#385723 [1609]" miterlimit="8" joinstyle="miter"/>
                <v:imagedata o:title=""/>
                <o:lock v:ext="edit" aspectratio="f"/>
              </v:rect>
            </w:pict>
          </mc:Fallback>
        </mc:AlternateContent>
      </w:r>
      <w:r>
        <w:rPr>
          <w:lang w:val="es-ES"/>
        </w:rPr>
        <w:br w:type="page"/>
      </w:r>
    </w:p>
    <w:p>
      <w:pPr>
        <w:spacing w:after="0" w:line="360" w:lineRule="auto"/>
        <w:jc w:val="both"/>
        <w:rPr>
          <w:rFonts w:ascii="Arial" w:hAnsi="Arial" w:cs="Arial"/>
          <w:b/>
          <w:sz w:val="24"/>
        </w:rPr>
      </w:pPr>
      <w:r>
        <w:rPr>
          <w:rFonts w:ascii="Arial" w:hAnsi="Arial" w:cs="Arial"/>
          <w:b/>
          <w:sz w:val="24"/>
        </w:rPr>
        <w:t xml:space="preserve">Resumen. </w:t>
      </w:r>
    </w:p>
    <w:p>
      <w:pPr>
        <w:spacing w:after="200" w:line="360" w:lineRule="auto"/>
        <w:jc w:val="both"/>
        <w:rPr>
          <w:rFonts w:ascii="Arial" w:hAnsi="Arial" w:eastAsia="SimSun" w:cs="Arial"/>
          <w:sz w:val="24"/>
          <w:szCs w:val="24"/>
          <w:lang w:eastAsia="zh-CN"/>
        </w:rPr>
      </w:pPr>
      <w:r>
        <w:rPr>
          <w:rFonts w:ascii="Arial" w:hAnsi="Arial" w:cs="Arial"/>
          <w:b/>
          <w:sz w:val="24"/>
          <w:szCs w:val="24"/>
        </w:rPr>
        <w:t>Introducción:</w:t>
      </w:r>
      <w:r>
        <w:rPr>
          <w:rFonts w:ascii="Arial" w:hAnsi="Arial" w:cs="Arial"/>
          <w:sz w:val="24"/>
          <w:szCs w:val="24"/>
        </w:rPr>
        <w:t xml:space="preserve">  </w:t>
      </w:r>
      <w:r>
        <w:rPr>
          <w:rFonts w:ascii="Arial" w:hAnsi="Arial" w:cs="Arial"/>
          <w:color w:val="000000"/>
          <w:sz w:val="24"/>
          <w:szCs w:val="24"/>
        </w:rPr>
        <w:t>La pancreatitis es la inflamación del páncreas exocrino, resultado del daño a las células acinares.</w:t>
      </w:r>
      <w:r>
        <w:rPr>
          <w:rFonts w:ascii="Arial" w:hAnsi="Arial" w:cs="Arial"/>
          <w:sz w:val="24"/>
          <w:szCs w:val="24"/>
        </w:rPr>
        <w:t xml:space="preserve"> </w:t>
      </w:r>
      <w:r>
        <w:rPr>
          <w:rFonts w:ascii="Arial" w:hAnsi="Arial" w:cs="Arial"/>
          <w:b/>
          <w:sz w:val="24"/>
          <w:szCs w:val="24"/>
        </w:rPr>
        <w:t>Objetivos:</w:t>
      </w:r>
      <w:r>
        <w:rPr>
          <w:rFonts w:ascii="Arial" w:hAnsi="Arial" w:cs="Arial"/>
          <w:sz w:val="24"/>
          <w:szCs w:val="24"/>
        </w:rPr>
        <w:t xml:space="preserve"> Describir las principales características de la Pancreatitis Aguda en los pacientes ingresados en las Unidades de Cuidados Intensivos</w:t>
      </w:r>
      <w:r>
        <w:rPr>
          <w:rFonts w:ascii="Arial" w:hAnsi="Arial" w:cs="Arial"/>
          <w:color w:val="000000"/>
          <w:sz w:val="24"/>
          <w:szCs w:val="24"/>
        </w:rPr>
        <w:t xml:space="preserve">. </w:t>
      </w:r>
      <w:r>
        <w:rPr>
          <w:rFonts w:ascii="Arial" w:hAnsi="Arial" w:cs="Arial"/>
          <w:b/>
          <w:color w:val="000000"/>
          <w:sz w:val="24"/>
          <w:szCs w:val="24"/>
        </w:rPr>
        <w:t>Metodología:</w:t>
      </w:r>
      <w:r>
        <w:rPr>
          <w:rFonts w:ascii="Arial" w:hAnsi="Arial" w:eastAsia="Times New Roman" w:cs="Arial"/>
          <w:sz w:val="24"/>
          <w:szCs w:val="24"/>
          <w:lang w:eastAsia="es-ES"/>
        </w:rPr>
        <w:t xml:space="preserve"> </w:t>
      </w:r>
      <w:r>
        <w:rPr>
          <w:rFonts w:ascii="Arial" w:hAnsi="Arial" w:cs="Arial"/>
          <w:sz w:val="24"/>
          <w:szCs w:val="24"/>
        </w:rPr>
        <w:t>Se realizó una búsqueda de literatura publicada en inglés y español en bases de datos tanto nacionales como internacionales, siendo finalmente utilizadas: Pub-Med/MEDLINE, Infomed, y Scielo. Se utilizó el buscador Google Académico. Se utilizando las palabras clave: Páncreas, pancreatitis aguda, terapia intensiva,</w:t>
      </w:r>
      <w:r>
        <w:t xml:space="preserve"> </w:t>
      </w:r>
      <w:r>
        <w:rPr>
          <w:rFonts w:ascii="Arial" w:hAnsi="Arial" w:cs="Arial"/>
          <w:sz w:val="24"/>
          <w:szCs w:val="24"/>
        </w:rPr>
        <w:t xml:space="preserve">abdomen agudo. Se revisaron un total de 49 artículos, a partir del 13 de septiembre, relacionados con la pancreatitis aguda en los últimos 10 años, utilizando 27 referencias. </w:t>
      </w:r>
      <w:r>
        <w:rPr>
          <w:rFonts w:ascii="Arial" w:hAnsi="Arial" w:cs="Arial"/>
          <w:b/>
          <w:sz w:val="24"/>
          <w:szCs w:val="24"/>
        </w:rPr>
        <w:t>Desarrollo:</w:t>
      </w:r>
      <w:r>
        <w:t xml:space="preserve"> </w:t>
      </w:r>
      <w:r>
        <w:rPr>
          <w:rFonts w:ascii="Arial" w:hAnsi="Arial" w:cs="Arial"/>
          <w:sz w:val="24"/>
          <w:szCs w:val="24"/>
        </w:rPr>
        <w:t xml:space="preserve">La pancreatitis aguda se trata de un grupo de lesiones reversibles que contribuyen a la inflamación del páncreas, cuya severidad varía desde edema y necrosis grasa. El diagnóstico requiere del hallazgo de manifestaciones clínicas, aumento de las enzimas pancreáticas y, el uso de imágenes diagnósticas. Se puede clasificar en leve, moderada y severa, lo cual es fundamental para determinar la necesidad de tratamiento y vigilancia en una unidad de cuidados intensivos. </w:t>
      </w:r>
      <w:r>
        <w:rPr>
          <w:rFonts w:ascii="Arial" w:hAnsi="Arial" w:cs="Arial"/>
          <w:b/>
          <w:sz w:val="24"/>
          <w:szCs w:val="24"/>
        </w:rPr>
        <w:t xml:space="preserve">Conclusiones: </w:t>
      </w:r>
      <w:r>
        <w:rPr>
          <w:rFonts w:ascii="Arial" w:hAnsi="Arial" w:cs="Arial"/>
          <w:sz w:val="24"/>
          <w:szCs w:val="24"/>
        </w:rPr>
        <w:t>La pancreatitis aguda en pacientes de UCI se caracteriza por un dolor abdominal intenso, elevaciones en las enzimas pancreáticas, y la tendencia a desarrollar complicaciones sistémicas graves que afectan a otros órganos y sistemas del cuerpo. El manejo de estos pacientes es un desafío complejo que requiere atención médica multidisciplinaria, su identificación temprana y tratamiento adecuado son esenciales para mejorar el pronóstico de los pacientes con pancreatitis aguda en UCI.</w:t>
      </w:r>
    </w:p>
    <w:p>
      <w:pPr>
        <w:rPr>
          <w:rFonts w:ascii="Arial" w:hAnsi="Arial" w:cs="Arial"/>
          <w:color w:val="000000" w:themeColor="text1"/>
          <w:kern w:val="24"/>
          <w14:textFill>
            <w14:solidFill>
              <w14:schemeClr w14:val="tx1"/>
            </w14:solidFill>
          </w14:textFill>
        </w:rPr>
      </w:pPr>
      <w:r>
        <w:rPr>
          <w:rFonts w:ascii="Arial" w:hAnsi="Arial" w:cs="Arial"/>
          <w:b/>
          <w:sz w:val="24"/>
          <w:szCs w:val="24"/>
        </w:rPr>
        <w:t>Palabras Clave:</w:t>
      </w:r>
      <w:r>
        <w:t xml:space="preserve"> </w:t>
      </w:r>
      <w:r>
        <w:rPr>
          <w:rFonts w:ascii="Arial" w:hAnsi="Arial" w:cs="Arial"/>
          <w:sz w:val="24"/>
          <w:szCs w:val="24"/>
        </w:rPr>
        <w:t>Páncreas, pancreatitis aguda, terapia intensiva,</w:t>
      </w:r>
      <w:r>
        <w:t xml:space="preserve"> </w:t>
      </w:r>
      <w:r>
        <w:rPr>
          <w:rFonts w:ascii="Arial" w:hAnsi="Arial" w:cs="Arial"/>
          <w:sz w:val="24"/>
          <w:szCs w:val="24"/>
        </w:rPr>
        <w:t>abdomen agudo.</w:t>
      </w: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r>
        <w:rPr>
          <w:rFonts w:ascii="Arial" w:hAnsi="Arial" w:cs="Arial"/>
          <w:b/>
          <w:sz w:val="24"/>
        </w:rPr>
        <w:t>Introducción.</w:t>
      </w:r>
    </w:p>
    <w:p>
      <w:pPr>
        <w:spacing w:line="360" w:lineRule="auto"/>
        <w:jc w:val="both"/>
        <w:rPr>
          <w:rFonts w:ascii="Arial" w:hAnsi="Arial" w:cs="Arial"/>
          <w:sz w:val="24"/>
        </w:rPr>
      </w:pPr>
      <w:r>
        <w:rPr>
          <w:rFonts w:ascii="Arial" w:hAnsi="Arial" w:cs="Arial"/>
          <w:sz w:val="24"/>
        </w:rPr>
        <w:t xml:space="preserve">La pancreatitis aguda (PA) es un proceso inflamatorio agudo del páncreas, desencadenado por la activación inapropiada de las enzimas pancreáticas, con lesión tisular y respuesta inflamatoria local, y respuesta inflamatoria y compromiso variable de otros tejidos o sistemas orgánicos distantes. </w:t>
      </w:r>
      <w:r>
        <w:rPr>
          <w:rFonts w:ascii="Arial" w:hAnsi="Arial" w:cs="Arial"/>
          <w:sz w:val="24"/>
          <w:vertAlign w:val="superscript"/>
        </w:rPr>
        <w:t>(1)</w:t>
      </w:r>
    </w:p>
    <w:p>
      <w:pPr>
        <w:spacing w:line="360" w:lineRule="auto"/>
        <w:jc w:val="both"/>
        <w:rPr>
          <w:rFonts w:ascii="Arial" w:hAnsi="Arial" w:cs="Arial"/>
          <w:sz w:val="24"/>
        </w:rPr>
      </w:pPr>
      <w:r>
        <w:rPr>
          <w:rFonts w:ascii="Arial" w:hAnsi="Arial" w:cs="Arial"/>
          <w:sz w:val="24"/>
        </w:rPr>
        <w:t xml:space="preserve">Los primeros indicios de pancreatitis aguda se remontan al siglo XVIII, cuando los médicos observaron síntomas como dolor abdominal intenso y fiebre en pacientes post-mortem. Sin embargo, no fue hasta el siglo XIX cuando se comenzaron a comprender mejor los aspectos clínicos y patológicos de esta enfermedad. </w:t>
      </w:r>
      <w:r>
        <w:rPr>
          <w:rFonts w:ascii="Arial" w:hAnsi="Arial" w:cs="Arial"/>
          <w:sz w:val="24"/>
          <w:vertAlign w:val="superscript"/>
        </w:rPr>
        <w:t>(2, 3)</w:t>
      </w:r>
      <w:r>
        <w:rPr>
          <w:rFonts w:ascii="Arial" w:hAnsi="Arial" w:cs="Arial"/>
          <w:sz w:val="24"/>
        </w:rPr>
        <w:t xml:space="preserve"> En 1889, Reginald Fitz, un cirujano estadounidense, describió la pancreatitis aguda como una entidad clínica separada de otras afecciones abdominales. Desde entonces, se han realizado avances significativos en la comprensión de la enfermedad y su tratamiento. </w:t>
      </w:r>
      <w:r>
        <w:rPr>
          <w:rFonts w:ascii="Arial" w:hAnsi="Arial" w:cs="Arial"/>
          <w:sz w:val="24"/>
          <w:vertAlign w:val="superscript"/>
        </w:rPr>
        <w:t>(3, 4)</w:t>
      </w:r>
    </w:p>
    <w:p>
      <w:pPr>
        <w:spacing w:line="360" w:lineRule="auto"/>
        <w:jc w:val="both"/>
        <w:rPr>
          <w:rFonts w:ascii="Arial" w:hAnsi="Arial" w:cs="Arial"/>
          <w:sz w:val="24"/>
        </w:rPr>
      </w:pPr>
      <w:r>
        <w:rPr>
          <w:rFonts w:ascii="Arial" w:hAnsi="Arial" w:cs="Arial"/>
          <w:sz w:val="24"/>
        </w:rPr>
        <w:t xml:space="preserve">En el contexto de las UCI, la pancreatitis aguda adquiere una relevancia especial debido a su gravedad y complicaciones potenciales. A medida que la medicina intensiva se ha desarrollado a lo largo del siglo XX y siglo XXI, se han establecido protocolos específicos para la atención de pacientes con pancreatitis aguda en UCI, incluida la monitorización continua y el manejo de complicaciones sistémicas graves como la insuficiencia respiratoria, la insuficiencia renal y el shock. </w:t>
      </w:r>
      <w:r>
        <w:rPr>
          <w:rFonts w:ascii="Arial" w:hAnsi="Arial" w:cs="Arial"/>
          <w:sz w:val="24"/>
          <w:vertAlign w:val="superscript"/>
        </w:rPr>
        <w:t>(5)</w:t>
      </w:r>
    </w:p>
    <w:p>
      <w:pPr>
        <w:spacing w:after="200" w:line="360" w:lineRule="auto"/>
        <w:jc w:val="both"/>
        <w:rPr>
          <w:rFonts w:ascii="Arial" w:hAnsi="Arial" w:eastAsia="SimSun" w:cs="Arial"/>
          <w:sz w:val="24"/>
          <w:szCs w:val="24"/>
          <w:lang w:eastAsia="zh-CN"/>
        </w:rPr>
      </w:pPr>
      <w:r>
        <w:rPr>
          <w:rFonts w:ascii="Arial" w:hAnsi="Arial" w:eastAsia="SimSun" w:cs="Arial"/>
          <w:sz w:val="24"/>
          <w:szCs w:val="24"/>
          <w:lang w:eastAsia="zh-CN"/>
        </w:rPr>
        <w:t xml:space="preserve">La pancreatitis aguda es una enfermedad que afecta a personas de todas las edades y géneros en todo el mundo. Su incidencia ha aumentado en las últimas décadas, lo que plantea preocupaciones sobre su carga en la atención médica. La incidencia de la enfermedad varía según los países y depende de la causa. La frecuencia de la pancreatitis aguda en el mundo representa entre 4,9 a 73,4 casos por cada 100 000 habitantes a nivel mundial por año, con una tasa de mortalidad cerca al 3 %. </w:t>
      </w:r>
      <w:r>
        <w:rPr>
          <w:rFonts w:ascii="Arial" w:hAnsi="Arial" w:eastAsia="SimSun" w:cs="Arial"/>
          <w:sz w:val="24"/>
          <w:szCs w:val="24"/>
          <w:vertAlign w:val="superscript"/>
          <w:lang w:eastAsia="zh-CN"/>
        </w:rPr>
        <w:t>(6, 7)</w:t>
      </w:r>
    </w:p>
    <w:p>
      <w:pPr>
        <w:spacing w:after="200" w:line="360" w:lineRule="auto"/>
        <w:jc w:val="both"/>
        <w:rPr>
          <w:rFonts w:ascii="Arial" w:hAnsi="Arial" w:eastAsia="SimSun" w:cs="Arial"/>
          <w:sz w:val="24"/>
          <w:szCs w:val="24"/>
          <w:lang w:eastAsia="zh-CN"/>
        </w:rPr>
      </w:pPr>
      <w:r>
        <w:rPr>
          <w:rFonts w:ascii="Arial" w:hAnsi="Arial" w:eastAsia="SimSun" w:cs="Arial"/>
          <w:sz w:val="24"/>
          <w:szCs w:val="24"/>
          <w:lang w:eastAsia="zh-CN"/>
        </w:rPr>
        <w:t xml:space="preserve">Según varios estudios a nivel mundial, donde evidencian la prevalencia de la enfermedad, como en Japón, donde presenta 49,4 casos por cada 100 000 habitantes y además de una tasa de mortalidad de dos días en 10,1 de los casos con pancreatitis severa. Por otro lado, en Europa, hay una tasa de incidencia de 24 a 35 por 100 000 habitantes al año en Adriático, norte de Croacia. En ambos estudios la presencia de litiasis vesicular fue más frecuente. </w:t>
      </w:r>
      <w:r>
        <w:rPr>
          <w:rFonts w:ascii="Arial" w:hAnsi="Arial" w:eastAsia="SimSun" w:cs="Arial"/>
          <w:sz w:val="24"/>
          <w:szCs w:val="24"/>
          <w:vertAlign w:val="superscript"/>
          <w:lang w:eastAsia="zh-CN"/>
        </w:rPr>
        <w:t>(6, 7)</w:t>
      </w:r>
    </w:p>
    <w:p>
      <w:pPr>
        <w:spacing w:after="200" w:line="360" w:lineRule="auto"/>
        <w:jc w:val="both"/>
        <w:rPr>
          <w:rFonts w:ascii="Arial" w:hAnsi="Arial" w:cs="Arial"/>
          <w:sz w:val="24"/>
          <w:vertAlign w:val="superscript"/>
        </w:rPr>
      </w:pPr>
      <w:r>
        <w:rPr>
          <w:rFonts w:ascii="Arial" w:hAnsi="Arial" w:eastAsia="SimSun" w:cs="Arial"/>
          <w:sz w:val="24"/>
          <w:szCs w:val="24"/>
          <w:lang w:eastAsia="zh-CN"/>
        </w:rPr>
        <w:t xml:space="preserve">En Latinoamérica la incidencia es de 15,9 casos por cada 100 000 habitantes; así se tiene que en Perú según las estadísticas del Ministerio de Salud, la incidencia de pancreatitis es de 28 casos por cada 100 000 habitantes. En Estados Unidos se presenta de 220 000 a 300 000 casos nuevos al año. En México de acuerdo a la Secretaría de Salud, la pancreatitis aguda ocupa el lugar 20 de las causas de mortalidad, donde la causa de origen biliar es más frecuente, dando el 5 % de mortalidad global. </w:t>
      </w:r>
      <w:r>
        <w:rPr>
          <w:rFonts w:ascii="Arial" w:hAnsi="Arial" w:eastAsia="SimSun" w:cs="Arial"/>
          <w:sz w:val="24"/>
          <w:szCs w:val="24"/>
          <w:vertAlign w:val="superscript"/>
          <w:lang w:eastAsia="zh-CN"/>
        </w:rPr>
        <w:t>(7)</w:t>
      </w:r>
      <w:r>
        <w:rPr>
          <w:rFonts w:ascii="Arial" w:hAnsi="Arial" w:eastAsia="SimSun" w:cs="Arial"/>
          <w:sz w:val="24"/>
          <w:szCs w:val="24"/>
          <w:lang w:eastAsia="zh-CN"/>
        </w:rPr>
        <w:t xml:space="preserve"> En </w:t>
      </w:r>
      <w:r>
        <w:rPr>
          <w:rFonts w:ascii="Arial" w:hAnsi="Arial" w:cs="Arial"/>
          <w:sz w:val="24"/>
        </w:rPr>
        <w:t xml:space="preserve">Cuba, al igual que otros países, no está exenta de la carga de la pancreatitis aguda, las enfermedades del páncreas causaron la muerte de 185 personas durante el año 2021 con una tasa bruta de mortalidad de 1,6 por cada 100 000 habitantes. </w:t>
      </w:r>
      <w:r>
        <w:rPr>
          <w:rFonts w:ascii="Arial" w:hAnsi="Arial" w:cs="Arial"/>
          <w:sz w:val="24"/>
          <w:vertAlign w:val="superscript"/>
        </w:rPr>
        <w:t>(8)</w:t>
      </w:r>
    </w:p>
    <w:p>
      <w:pPr>
        <w:spacing w:after="200" w:line="360" w:lineRule="auto"/>
        <w:jc w:val="both"/>
        <w:rPr>
          <w:rFonts w:ascii="Arial" w:hAnsi="Arial" w:cs="Arial"/>
          <w:sz w:val="24"/>
          <w:vertAlign w:val="superscript"/>
        </w:rPr>
      </w:pPr>
      <w:r>
        <w:rPr>
          <w:rFonts w:ascii="Arial" w:hAnsi="Arial" w:cs="Arial"/>
          <w:sz w:val="24"/>
        </w:rPr>
        <w:t xml:space="preserve">La pancreatitis descrita como "la más terrible de todas las calamidades intrabdominales..."; estableció la práctica de una intervención quirúrgica inmediata, para remover los productos tóxicos que se acumulan en la cavidad peritoneal. Esta modalidad terapéutica fue adoptada por la mayoría de los centros hospitalarios y así permaneció como el tratamiento estándar durante casi 20 años. </w:t>
      </w:r>
      <w:r>
        <w:rPr>
          <w:rFonts w:ascii="Arial" w:hAnsi="Arial" w:cs="Arial"/>
          <w:sz w:val="24"/>
          <w:vertAlign w:val="superscript"/>
        </w:rPr>
        <w:t>(3, 5)</w:t>
      </w:r>
      <w:r>
        <w:rPr>
          <w:rFonts w:ascii="Arial" w:hAnsi="Arial" w:cs="Arial"/>
          <w:sz w:val="24"/>
        </w:rPr>
        <w:t xml:space="preserve"> El advenimiento de las unidades de cuidados intensivos (UCI), el tratamiento más conservador e integral, así como detección y tratamiento precoz de las complicaciones ha permitido un descenso en la letalidad de esta enfermedad. </w:t>
      </w:r>
      <w:r>
        <w:rPr>
          <w:rFonts w:ascii="Arial" w:hAnsi="Arial" w:cs="Arial"/>
          <w:sz w:val="24"/>
          <w:vertAlign w:val="superscript"/>
        </w:rPr>
        <w:t>(3)</w:t>
      </w:r>
    </w:p>
    <w:p>
      <w:pPr>
        <w:spacing w:after="200" w:line="360" w:lineRule="auto"/>
        <w:jc w:val="both"/>
        <w:rPr>
          <w:rFonts w:ascii="Arial" w:hAnsi="Arial" w:cs="Arial"/>
          <w:sz w:val="24"/>
        </w:rPr>
      </w:pPr>
      <w:r>
        <w:rPr>
          <w:rFonts w:ascii="Arial" w:hAnsi="Arial" w:cs="Arial"/>
          <w:sz w:val="24"/>
        </w:rPr>
        <w:t>La PA es contradictoria y variable en el tiempo; una identificación oportuna de los signos de gravedad durante los 3 primeros días desde el ingreso, mejora el pronóstico y reduce la mortalidad. Por esta razón, es necesario el que todos los futuros profesionales de las ciencias médicas conozcan sobre esta patología, dado el contexto actual, la PA adquiere una relevancia cada vez mayor por lo que se decidió brindar una visión general y actualizada al respecto a través de una revisión de la bibliografía sobre el tema, pues a pesar de las numerosas publicaciones acerca de ello, continúa siendo un asunto de suma importancia en la atención médica.</w:t>
      </w:r>
    </w:p>
    <w:p>
      <w:pPr>
        <w:spacing w:after="200" w:line="360" w:lineRule="auto"/>
        <w:jc w:val="both"/>
        <w:rPr>
          <w:rFonts w:ascii="Arial" w:hAnsi="Arial" w:cs="Arial"/>
          <w:sz w:val="24"/>
        </w:rPr>
      </w:pPr>
    </w:p>
    <w:p>
      <w:pPr>
        <w:spacing w:after="200" w:line="360" w:lineRule="auto"/>
        <w:jc w:val="both"/>
        <w:rPr>
          <w:rFonts w:ascii="Arial" w:hAnsi="Arial" w:cs="Arial"/>
          <w:sz w:val="24"/>
        </w:rPr>
      </w:pPr>
    </w:p>
    <w:p>
      <w:pPr>
        <w:spacing w:after="200" w:line="360" w:lineRule="auto"/>
        <w:jc w:val="both"/>
        <w:rPr>
          <w:rFonts w:ascii="Arial" w:hAnsi="Arial" w:cs="Arial"/>
          <w:b/>
          <w:sz w:val="24"/>
        </w:rPr>
      </w:pPr>
      <w:r>
        <w:rPr>
          <w:rFonts w:ascii="Arial" w:hAnsi="Arial" w:cs="Arial"/>
          <w:b/>
          <w:sz w:val="24"/>
        </w:rPr>
        <w:t xml:space="preserve">Objetivo General. </w:t>
      </w:r>
    </w:p>
    <w:p>
      <w:pPr>
        <w:pStyle w:val="9"/>
        <w:numPr>
          <w:ilvl w:val="0"/>
          <w:numId w:val="4"/>
        </w:numPr>
        <w:spacing w:after="200" w:line="360" w:lineRule="auto"/>
        <w:jc w:val="both"/>
        <w:rPr>
          <w:rFonts w:ascii="Arial" w:hAnsi="Arial" w:eastAsia="SimSun" w:cs="Arial"/>
          <w:sz w:val="24"/>
          <w:szCs w:val="24"/>
          <w:lang w:eastAsia="zh-CN"/>
        </w:rPr>
      </w:pPr>
      <w:r>
        <w:rPr>
          <w:rFonts w:ascii="Arial" w:hAnsi="Arial" w:cs="Arial"/>
          <w:sz w:val="24"/>
        </w:rPr>
        <w:t xml:space="preserve">Describir las principales características de la Pancreatitis Aguda en los pacientes ingresados en las Unidades de Cuidados Intensivos. </w:t>
      </w:r>
    </w:p>
    <w:p>
      <w:pPr>
        <w:spacing w:after="200" w:line="360" w:lineRule="auto"/>
        <w:jc w:val="both"/>
        <w:rPr>
          <w:rFonts w:ascii="Arial" w:hAnsi="Arial" w:cs="Arial"/>
          <w:b/>
          <w:sz w:val="24"/>
        </w:rPr>
      </w:pPr>
      <w:r>
        <w:rPr>
          <w:rFonts w:ascii="Arial" w:hAnsi="Arial" w:cs="Arial"/>
          <w:b/>
          <w:sz w:val="24"/>
        </w:rPr>
        <w:t xml:space="preserve">Objetivo Específicos. </w:t>
      </w:r>
    </w:p>
    <w:p>
      <w:pPr>
        <w:pStyle w:val="9"/>
        <w:numPr>
          <w:ilvl w:val="0"/>
          <w:numId w:val="4"/>
        </w:numPr>
        <w:spacing w:after="200" w:line="360" w:lineRule="auto"/>
        <w:jc w:val="both"/>
        <w:rPr>
          <w:rFonts w:ascii="Arial" w:hAnsi="Arial" w:cs="Arial"/>
          <w:sz w:val="24"/>
        </w:rPr>
      </w:pPr>
      <w:r>
        <w:rPr>
          <w:rFonts w:ascii="Arial" w:hAnsi="Arial" w:cs="Arial"/>
          <w:sz w:val="24"/>
        </w:rPr>
        <w:t>Describir las escalas de predicción de severidad y mortalidad de los pacientes con Pancreatitis Aguda ingresados en las Unidades de Cuidados Intensivos.</w:t>
      </w:r>
    </w:p>
    <w:p>
      <w:pPr>
        <w:spacing w:after="200" w:line="360" w:lineRule="auto"/>
        <w:jc w:val="both"/>
        <w:rPr>
          <w:rFonts w:ascii="Arial" w:hAnsi="Arial" w:eastAsia="SimSun" w:cs="Arial"/>
          <w:sz w:val="24"/>
          <w:szCs w:val="24"/>
          <w:lang w:eastAsia="zh-CN"/>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r>
        <w:rPr>
          <w:rFonts w:ascii="Arial" w:hAnsi="Arial" w:cs="Arial"/>
          <w:b/>
          <w:sz w:val="24"/>
        </w:rPr>
        <w:t xml:space="preserve">Metodología. </w:t>
      </w:r>
    </w:p>
    <w:p>
      <w:pPr>
        <w:spacing w:line="360" w:lineRule="auto"/>
        <w:jc w:val="both"/>
        <w:rPr>
          <w:rFonts w:ascii="Arial" w:hAnsi="Arial" w:cs="Arial"/>
          <w:sz w:val="24"/>
        </w:rPr>
      </w:pPr>
      <w:r>
        <w:rPr>
          <w:rFonts w:ascii="Arial" w:hAnsi="Arial" w:cs="Arial"/>
          <w:sz w:val="24"/>
        </w:rPr>
        <w:t>: Se realizó una búsqueda de literatura publicada en inglés y español en bases de datos tanto nacionales como internacionales, siendo finalmente utilizadas: Pub-Med/MEDLINE, Infomed, y Scielo. Se utilizó el buscador Google Académico. Se utilizando las palabras clave: Páncreas, pancreatitis aguda, terapia intensiva, abdomen agudo. Se revisaron un total de 49 artículos, a partir del 13 de septiembre, relacionados con la pancreatitis aguda en los últimos 10 años, utilizando finalmente 27 referencias.</w:t>
      </w: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r>
        <w:rPr>
          <w:rFonts w:ascii="Arial" w:hAnsi="Arial" w:cs="Arial"/>
          <w:b/>
          <w:sz w:val="24"/>
        </w:rPr>
        <w:t xml:space="preserve">Desarrollo. </w:t>
      </w:r>
    </w:p>
    <w:p>
      <w:pPr>
        <w:spacing w:line="360" w:lineRule="auto"/>
        <w:jc w:val="both"/>
        <w:rPr>
          <w:rFonts w:ascii="Arial" w:hAnsi="Arial" w:cs="Arial"/>
          <w:sz w:val="24"/>
        </w:rPr>
      </w:pPr>
      <w:r>
        <w:rPr>
          <w:rFonts w:ascii="Arial" w:hAnsi="Arial" w:cs="Arial"/>
          <w:sz w:val="24"/>
        </w:rPr>
        <w:t xml:space="preserve">La pancreatitis aguda (PA) es un proceso inflamatorio que se caracteriza por la activación prematura de enzimas pancreáticas (amilasa y lipasa) y sus zimógenos en el propio tejido pancreático. Este suceso provoca daño local y síndrome de respuesta inflamatoria sistemática (SRIS). </w:t>
      </w:r>
      <w:r>
        <w:rPr>
          <w:rFonts w:ascii="Arial" w:hAnsi="Arial" w:cs="Arial"/>
          <w:sz w:val="24"/>
          <w:vertAlign w:val="superscript"/>
        </w:rPr>
        <w:t>(9, 10)</w:t>
      </w:r>
    </w:p>
    <w:p>
      <w:pPr>
        <w:spacing w:line="360" w:lineRule="auto"/>
        <w:jc w:val="both"/>
        <w:rPr>
          <w:rFonts w:ascii="Arial" w:hAnsi="Arial" w:cs="Arial"/>
          <w:b/>
          <w:sz w:val="24"/>
          <w:szCs w:val="24"/>
        </w:rPr>
      </w:pPr>
      <w:r>
        <w:rPr>
          <w:rFonts w:ascii="Arial" w:hAnsi="Arial" w:cs="Arial"/>
          <w:b/>
          <w:sz w:val="24"/>
          <w:szCs w:val="24"/>
        </w:rPr>
        <w:t>Etiología y factores de riesgo.</w:t>
      </w:r>
    </w:p>
    <w:p>
      <w:pPr>
        <w:spacing w:line="360" w:lineRule="auto"/>
        <w:jc w:val="both"/>
        <w:rPr>
          <w:rFonts w:ascii="Arial" w:hAnsi="Arial" w:cs="Arial"/>
          <w:sz w:val="24"/>
          <w:szCs w:val="24"/>
        </w:rPr>
      </w:pPr>
      <w:r>
        <w:rPr>
          <w:rFonts w:ascii="Arial" w:hAnsi="Arial" w:cs="Arial"/>
          <w:sz w:val="24"/>
          <w:szCs w:val="24"/>
        </w:rPr>
        <w:t xml:space="preserve">Los cálculos biliares son la principal causa de pancreatitis, ocasionando el 40-70 % de los casos, </w:t>
      </w:r>
      <w:r>
        <w:rPr>
          <w:rFonts w:ascii="Arial" w:hAnsi="Arial" w:cs="Arial"/>
          <w:sz w:val="24"/>
          <w:szCs w:val="24"/>
          <w:vertAlign w:val="superscript"/>
        </w:rPr>
        <w:t>(11)</w:t>
      </w:r>
      <w:r>
        <w:rPr>
          <w:rFonts w:ascii="Arial" w:hAnsi="Arial" w:cs="Arial"/>
          <w:sz w:val="24"/>
          <w:szCs w:val="24"/>
        </w:rPr>
        <w:t xml:space="preserve"> aunque por el contrario, solo 3 a 7 % de los pacientes con colelitiasis desarrollan pancreatitis. Tres factores fisiopatológicos se han sugerido como los eventos iniciales en la pancreatitis de origen biliar: el reflujo biliar en el ducto pancreático debido a una obstrucción a nivel de la ampolla de Váter por un lito, el edema ampular debido al paso de cálculos y la incompetencia del esfínter de Oddi secundaria al paso crónico de cálculos.  La colecistectomía  y la extracción de cálculos del conducto colédoco previenen las recurrencias, lo que confirma una relación causa-efecto. La ingesta de alcohol es la segunda causa más común de pancreatitis, siendo responsable del 25 a 35 % de los casos. Aproximadamente 10 % de los alcohólicos crónicos desarrollan episodios clínicos de pancreatitis aguda. El mecanismo exacto de injuria pancreática no se conoce, pero se cree que el alcohol puede incrementar la síntesis de enzimas digestivas y lisosomales en los acinos pancreáticos o producir una hipersensibilización a la acción de la colecistoquinina. </w:t>
      </w:r>
      <w:r>
        <w:rPr>
          <w:rFonts w:ascii="Arial" w:hAnsi="Arial" w:cs="Arial"/>
          <w:sz w:val="24"/>
          <w:szCs w:val="24"/>
          <w:vertAlign w:val="superscript"/>
        </w:rPr>
        <w:t>(12)</w:t>
      </w:r>
      <w:r>
        <w:rPr>
          <w:rFonts w:ascii="Arial" w:hAnsi="Arial" w:cs="Arial"/>
          <w:sz w:val="24"/>
          <w:szCs w:val="24"/>
        </w:rPr>
        <w:t xml:space="preserve"> Otras causas menos comunes deben sospecharse luego de descartadas las dos anteriores. La pancreatitis aguda de origen idiopático designa los casos en los que no se logra identificar una etiología mediante la historia clínica, exámenes de laboratorios e imágenes diagnósticas. </w:t>
      </w:r>
      <w:r>
        <w:rPr>
          <w:rFonts w:ascii="Arial" w:hAnsi="Arial" w:cs="Arial"/>
          <w:sz w:val="24"/>
          <w:szCs w:val="24"/>
          <w:vertAlign w:val="superscript"/>
        </w:rPr>
        <w:t>(13)</w:t>
      </w:r>
    </w:p>
    <w:p>
      <w:pPr>
        <w:spacing w:line="360" w:lineRule="auto"/>
        <w:jc w:val="both"/>
        <w:rPr>
          <w:rFonts w:ascii="Arial" w:hAnsi="Arial" w:cs="Arial"/>
          <w:b/>
          <w:sz w:val="24"/>
          <w:szCs w:val="24"/>
        </w:rPr>
      </w:pPr>
      <w:r>
        <w:rPr>
          <w:rFonts w:ascii="Arial" w:hAnsi="Arial" w:cs="Arial"/>
          <w:b/>
          <w:sz w:val="24"/>
          <w:szCs w:val="24"/>
        </w:rPr>
        <w:t>Manifestaciones clínicas.</w:t>
      </w:r>
    </w:p>
    <w:p>
      <w:pPr>
        <w:spacing w:line="360" w:lineRule="auto"/>
        <w:jc w:val="both"/>
        <w:rPr>
          <w:rFonts w:ascii="Arial" w:hAnsi="Arial" w:cs="Arial"/>
          <w:sz w:val="24"/>
          <w:szCs w:val="24"/>
        </w:rPr>
      </w:pPr>
      <w:r>
        <w:rPr>
          <w:rFonts w:ascii="Arial" w:hAnsi="Arial" w:cs="Arial"/>
          <w:sz w:val="24"/>
          <w:szCs w:val="24"/>
        </w:rPr>
        <w:t>La mayoría de los pacientes con PA tienen una instauración aguda de dolor epigástrico, de intensidad severa y persistente. En algunos pacientes el dolor puede ubicarse en el cuadrante superior derecho del abdomen y, en menor medida, se ubica en el lado izquierdo.  Típicamente se irradia en banda a la región  interescapular,  el  tórax  y,  con  menor frecuencia a los flancos. Se ha demostrado que la intensidad y localización del dolor no se correlaciona con la severidad del cuadro.</w:t>
      </w:r>
      <w:r>
        <w:rPr>
          <w:rFonts w:ascii="Arial" w:hAnsi="Arial" w:cs="Arial"/>
          <w:sz w:val="24"/>
          <w:szCs w:val="24"/>
          <w:vertAlign w:val="superscript"/>
        </w:rPr>
        <w:t xml:space="preserve"> (11)</w:t>
      </w:r>
      <w:r>
        <w:rPr>
          <w:rFonts w:ascii="Arial" w:hAnsi="Arial" w:cs="Arial"/>
          <w:sz w:val="24"/>
          <w:szCs w:val="24"/>
        </w:rPr>
        <w:t xml:space="preserve"> El dolor suele persistir por un periodo de horas a días y  característicamente puede mejorar si el paciente se sienta o inclina el torso hacia adelante, lo que se conoce como posición de plegaria mahometana y tiene su explicación en que hay una liberación de  la  presión  que  ejercen  los  órganos  intraperitoneales sobre la transcavidad de los epiplones y por ende, sobre el páncreas.</w:t>
      </w:r>
      <w:r>
        <w:t xml:space="preserve"> </w:t>
      </w:r>
      <w:r>
        <w:rPr>
          <w:rFonts w:ascii="Arial" w:hAnsi="Arial" w:cs="Arial"/>
          <w:sz w:val="24"/>
          <w:szCs w:val="24"/>
          <w:vertAlign w:val="superscript"/>
        </w:rPr>
        <w:t xml:space="preserve">(11) </w:t>
      </w:r>
      <w:r>
        <w:rPr>
          <w:rFonts w:ascii="Arial" w:hAnsi="Arial" w:cs="Arial"/>
          <w:sz w:val="24"/>
          <w:szCs w:val="24"/>
        </w:rPr>
        <w:t xml:space="preserve"> Aproximadamente el 90 % de los pacientes presentan náuseas y  vómitos  asociados.  En los casos de PA severa los pacientes pueden presentar disnea, debido a inflamación secundaria del diafragma, derrames pleurales o distrés respiratorio agudo.  A nivel nacional, un estudio concluyó que el dolor abdominal continúa siendo el síntoma cardinal al presentarse en 97 % de los pacientes, seguido por náuseas y vómitos asociados en el 73 % de los casos. </w:t>
      </w:r>
      <w:r>
        <w:rPr>
          <w:rFonts w:ascii="Arial" w:hAnsi="Arial" w:cs="Arial"/>
          <w:sz w:val="24"/>
          <w:szCs w:val="24"/>
          <w:vertAlign w:val="superscript"/>
        </w:rPr>
        <w:t>(14)</w:t>
      </w:r>
      <w:r>
        <w:rPr>
          <w:rFonts w:ascii="Arial" w:hAnsi="Arial" w:cs="Arial"/>
          <w:sz w:val="24"/>
          <w:szCs w:val="24"/>
        </w:rPr>
        <w:t xml:space="preserve"> Los hallazgos al examen físico incluyen dolor a la palpación del epigastrio, que varía de leve y localizado a intenso y difuso en los casos de PA severa, constituyendo un franco abdomen agudo. Se puede presentar distensión abdominal, con disminución de los ruidos hidroaéreos  por  íleo  secundario a la inflamación, en un 60 % de los pacientes. Puede existir además tinte ictérico en piel y escleras, debido a ictericia obstructiva secundaria a coledocolitiasis o edema de la cabeza del páncreas, hasta en un 15 % de los pacientes con pancreatitis. Los pacientes con PA severa también suelen desarrollar fiebre con relativa frecuencia, taquipnea, hipoxemia e hipotensión.  En el 3 % de los pacientes con PA aparece una coloración esquemática en la región peri umbilical  (signo  de  Cullen) o en los flancos (signo de Grey Turner). Estos hallazgos, aunque no son específicos, sugieren sangrado retroperitoneal en el contexto de necrosis pancreática. </w:t>
      </w:r>
      <w:r>
        <w:rPr>
          <w:rFonts w:ascii="Arial" w:hAnsi="Arial" w:cs="Arial"/>
          <w:sz w:val="24"/>
          <w:szCs w:val="24"/>
          <w:vertAlign w:val="superscript"/>
        </w:rPr>
        <w:t>(11)</w:t>
      </w:r>
    </w:p>
    <w:p>
      <w:pPr>
        <w:spacing w:line="360" w:lineRule="auto"/>
        <w:jc w:val="both"/>
        <w:rPr>
          <w:rFonts w:ascii="Arial" w:hAnsi="Arial" w:cs="Arial"/>
          <w:b/>
          <w:sz w:val="24"/>
          <w:szCs w:val="24"/>
        </w:rPr>
      </w:pPr>
      <w:r>
        <w:rPr>
          <w:rFonts w:ascii="Arial" w:hAnsi="Arial" w:cs="Arial"/>
          <w:b/>
          <w:sz w:val="24"/>
          <w:szCs w:val="24"/>
        </w:rPr>
        <w:t>Definiciones y clasificación.</w:t>
      </w:r>
    </w:p>
    <w:p>
      <w:pPr>
        <w:spacing w:line="360" w:lineRule="auto"/>
        <w:jc w:val="both"/>
        <w:rPr>
          <w:rFonts w:ascii="Arial" w:hAnsi="Arial" w:cs="Arial"/>
          <w:sz w:val="24"/>
          <w:szCs w:val="24"/>
        </w:rPr>
      </w:pPr>
      <w:r>
        <w:rPr>
          <w:rFonts w:ascii="Arial" w:hAnsi="Arial" w:cs="Arial"/>
          <w:sz w:val="24"/>
          <w:szCs w:val="24"/>
        </w:rPr>
        <w:t xml:space="preserve">La clasificación revisada de Atlanta para pancreatitis aguda es la más utilizada a nivel global ya que determina los tipos de pancreatitis aguda, la severidad de la enfermedad y define las complicaciones locales y sistémicas. La PA puede subdividirse en dos tipos, según sus características histopatológicas:  pancreatitis edematosa intersticial y pancreatitis necrosante. La pancreatitis edematosa intersticial (PEI) se caracteriza por edema inflamatorio de la glándula, la cual muestra una captación de contraste uniforme en los estudios tomográficos, además de inflamación de la grasa peripancreática o fluido peripancreático. </w:t>
      </w:r>
      <w:r>
        <w:rPr>
          <w:rFonts w:ascii="Arial" w:hAnsi="Arial" w:cs="Arial"/>
          <w:sz w:val="24"/>
          <w:szCs w:val="24"/>
          <w:vertAlign w:val="superscript"/>
        </w:rPr>
        <w:t>(15, 16)</w:t>
      </w:r>
      <w:r>
        <w:rPr>
          <w:rFonts w:ascii="Arial" w:hAnsi="Arial" w:cs="Arial"/>
          <w:sz w:val="24"/>
          <w:szCs w:val="24"/>
        </w:rPr>
        <w:t xml:space="preserve"> La pancreatitis necrosante (PN) se presenta en cerca del 5-10 % de los pacientes y se caracteriza por necrosis del parénquima pancreático, el tejido peripancreático o ambos. En los estudios tomográficos el realce del contraste es heterogéneo y se hace más evidente luego de las 72  horas. (Ver anexo 1) La historia natural de la necrosis pancreática y peri-pancreática varía, ya que puede permanecer sólida o presentar licuefacción, permanecer estéril o sobreinfectarse, o desaparecer con el transcurso del tiempo. </w:t>
      </w:r>
      <w:r>
        <w:rPr>
          <w:rFonts w:ascii="Arial" w:hAnsi="Arial" w:cs="Arial"/>
          <w:sz w:val="24"/>
          <w:szCs w:val="24"/>
          <w:vertAlign w:val="superscript"/>
        </w:rPr>
        <w:t>(17)</w:t>
      </w:r>
      <w:r>
        <w:rPr>
          <w:rFonts w:ascii="Arial" w:hAnsi="Arial" w:cs="Arial"/>
          <w:sz w:val="24"/>
          <w:szCs w:val="24"/>
        </w:rPr>
        <w:t xml:space="preserve"> La sobreinfección de la necrosis ocurre en el 20-40 % de los pacientes con pancreatitis aguda severa y se asocia con empeoramiento de la disfunción orgánica y aumento de la mortalidad, que alcanza hasta un 35,2 % en estos individuos, como se demostró en una revisión sistemática y metaanálisis del 2016 que contó con un total de 6970 pacientes. </w:t>
      </w:r>
      <w:r>
        <w:rPr>
          <w:rFonts w:ascii="Arial" w:hAnsi="Arial" w:cs="Arial"/>
          <w:sz w:val="24"/>
          <w:szCs w:val="24"/>
          <w:vertAlign w:val="superscript"/>
        </w:rPr>
        <w:t>(18)</w:t>
      </w:r>
      <w:r>
        <w:rPr>
          <w:rFonts w:ascii="Arial" w:hAnsi="Arial" w:cs="Arial"/>
          <w:sz w:val="24"/>
          <w:szCs w:val="24"/>
        </w:rPr>
        <w:t xml:space="preserve">  De acuerdo con su severidad, la enfermedad se clasifica en leve, moderada (moderadamente severa) o severa.  La PA leve normalmente se corresponde con la pancreatitis edematosa intersticial, no tiene insuficiencia orgánica, complicaciones locales o sistémicas y   generalmente resuelve en la  primera  semana.  Se habla de PA moderada si existe falla orgánica transitoria (menos de 48  horas)  y  complicaciones  locales</w:t>
      </w:r>
      <w:r>
        <w:t xml:space="preserve"> </w:t>
      </w:r>
      <w:r>
        <w:rPr>
          <w:rFonts w:ascii="Arial" w:hAnsi="Arial" w:cs="Arial"/>
          <w:sz w:val="24"/>
          <w:szCs w:val="24"/>
        </w:rPr>
        <w:t xml:space="preserve">o sistémicas. Los pacientes con insuficiencia orgánica persistente (más de 48 horas) se diagnostican como PA severa. </w:t>
      </w:r>
      <w:r>
        <w:rPr>
          <w:rFonts w:ascii="Arial" w:hAnsi="Arial" w:cs="Arial"/>
          <w:sz w:val="24"/>
          <w:szCs w:val="24"/>
          <w:vertAlign w:val="superscript"/>
        </w:rPr>
        <w:t>(11, 13)</w:t>
      </w:r>
      <w:r>
        <w:rPr>
          <w:rFonts w:ascii="Arial" w:hAnsi="Arial" w:cs="Arial"/>
          <w:sz w:val="24"/>
          <w:szCs w:val="24"/>
        </w:rPr>
        <w:t xml:space="preserve"> Las complicaciones de  la  PA  incluyen  la  falla  orgánica,  las  complicaciones  locales  y  las  complicaciones  sistémicas. La falla orgánica (FO) se define evaluando tres sistemas: respiratorio, cardiovascular y renal, para lo  cual  se  utiliza  el  puntaje de Marshall modificado, que estipula un puntaje  igual  o  mayor  a  2  para  su  diagnóstico.  Tiene la ventaja de poder ser usado al ingreso y múltiples veces durante la estancia del paciente. Las  complicaciones  locales  son  la  colección  peripancreática, una colección no asociada a necrosis, identificada en las primeras 4 semanas; el pseudoquiste pancreático, una colección encapsulada con una pared inflamatoria bien definida, que ocurre luego de las primeras 4 semanas; la colección necrótica aguda, una colección heterogénea asociada a pancreatitis necrosante, evidenciada en las primeras 4 semanas, y la necrosis “amurallada”, del  inglés  walled-off,  que  implica  una  colección  necrótica madura y encapsulada, y ocurre luego de  las  primeras  4  semanas.    Las complicaciones locales deben sospecharse ante la persistencia del dolor abdominal, la aparición de falla orgánica y signos clínicos de sepsis. Las complicaciones sistémicas se definen por la exacerbación de comorbilidades preexistentes, como enfermedad pulmonar obstructiva crónica o falla cardiaca precipitadas por la PA. </w:t>
      </w:r>
      <w:r>
        <w:rPr>
          <w:rFonts w:ascii="Arial" w:hAnsi="Arial" w:cs="Arial"/>
          <w:sz w:val="24"/>
          <w:szCs w:val="24"/>
          <w:vertAlign w:val="superscript"/>
        </w:rPr>
        <w:t>(11)</w:t>
      </w:r>
      <w:r>
        <w:rPr>
          <w:rFonts w:ascii="Arial" w:hAnsi="Arial" w:cs="Arial"/>
          <w:sz w:val="24"/>
          <w:szCs w:val="24"/>
        </w:rPr>
        <w:t xml:space="preserve"> La mayoría de los pacientes  (80–85  %)  desarrollarán  PA  leve,  que  es  autolimitada  y  con  una  mortalidad menor del 1-3 %, pero alrededor del 20  %  tendrá  un  episodio  de  PA  moderada  o  se-vera,  con  una  tasa  de  mortalidad  del  13  al  35  %.  Por lo tanto, es importante  diagnosticar  los  casos  de PA severa e identificar a los pacientes con alto riesgo  de  desarrollar  complicaciones. </w:t>
      </w:r>
      <w:r>
        <w:rPr>
          <w:rFonts w:ascii="Arial" w:hAnsi="Arial" w:cs="Arial"/>
          <w:sz w:val="24"/>
          <w:szCs w:val="24"/>
          <w:vertAlign w:val="superscript"/>
        </w:rPr>
        <w:t>(11)</w:t>
      </w:r>
      <w:r>
        <w:rPr>
          <w:rFonts w:ascii="Arial" w:hAnsi="Arial" w:cs="Arial"/>
          <w:sz w:val="24"/>
          <w:szCs w:val="24"/>
        </w:rPr>
        <w:t xml:space="preserve">  En general, los pacientes con insuficiencia orgánica, definidos con precisión utilizando el puntaje de Marshall, deben ser llevados de manera prioritaria a una unidad de cuidados intensivos (UCI), para monitoreo invasivo y continuo. </w:t>
      </w:r>
      <w:r>
        <w:rPr>
          <w:rFonts w:ascii="Arial" w:hAnsi="Arial" w:cs="Arial"/>
          <w:sz w:val="24"/>
          <w:szCs w:val="24"/>
          <w:vertAlign w:val="superscript"/>
        </w:rPr>
        <w:t>(13)</w:t>
      </w:r>
    </w:p>
    <w:p>
      <w:pPr>
        <w:spacing w:line="360" w:lineRule="auto"/>
        <w:jc w:val="both"/>
        <w:rPr>
          <w:rFonts w:ascii="Arial" w:hAnsi="Arial" w:cs="Arial"/>
          <w:sz w:val="24"/>
          <w:szCs w:val="24"/>
        </w:rPr>
      </w:pPr>
      <w:r>
        <w:rPr>
          <w:rFonts w:ascii="Arial" w:hAnsi="Arial" w:cs="Arial"/>
          <w:b/>
          <w:sz w:val="24"/>
          <w:szCs w:val="24"/>
        </w:rPr>
        <w:t>Enfoque diagnóstico: criterios, imágenes y estudios de laboratorio</w:t>
      </w:r>
      <w:r>
        <w:rPr>
          <w:rFonts w:ascii="Arial" w:hAnsi="Arial" w:cs="Arial"/>
          <w:sz w:val="24"/>
          <w:szCs w:val="24"/>
        </w:rPr>
        <w:t>.</w:t>
      </w:r>
    </w:p>
    <w:p>
      <w:pPr>
        <w:spacing w:line="360" w:lineRule="auto"/>
        <w:jc w:val="both"/>
        <w:rPr>
          <w:rFonts w:ascii="Arial" w:hAnsi="Arial" w:cs="Arial"/>
          <w:sz w:val="24"/>
          <w:szCs w:val="24"/>
        </w:rPr>
      </w:pPr>
      <w:r>
        <w:rPr>
          <w:rFonts w:ascii="Arial" w:hAnsi="Arial" w:cs="Arial"/>
          <w:sz w:val="24"/>
          <w:szCs w:val="24"/>
        </w:rPr>
        <w:t xml:space="preserve">El diagnóstico de PA requiere la presencia de al menos dos de los tres siguientes criterios: 1. dolor abdominal consistente con la enfermedad, como se describieron anteriormente, 2. evidencia bioquímica de pancreatitis (amilasa y / o lipasa sérica mayor de tres veces el límite superior normal), y 3. hallazgos característicos en estudios de imagen abdominal. Una vez el paciente es admitido en la institución, se debe determinar la etiología de la PA para proyectar la necesidad de un tratamiento definitivo y planear el seguimiento del paciente. Para esto es necesario la realización de estudios imagen lógicos. La ecografía abdominal al ingreso o en las primeras 48 horas permite evidenciar aumento del tamaño del páncreas, cambios inflamatorios peripancreáticos, colecistolitiasis, coledocolitiasis o dilatación de la vía biliar. En la mayoría de los pacientes con PA, no es necesario la tomografía computarizada (TC), sin embargo,  en  los  pacientes  que  se  tienen  dudas  respecto  del  diagnóstico,  en  el  contexto  de  pancreatitis severa o en pacientes sin mejoría clínica durante las primeras 48-72 horas, dado por persistencia de dolor, fiebre o imposibilidad de iniciar vía oral, se debe considerar la realización de una TC,  que  además  permite  descartar  complicaciones como peritonitis secundaria a perforación o isquemia mesentérica. </w:t>
      </w:r>
      <w:r>
        <w:rPr>
          <w:rFonts w:ascii="Arial" w:hAnsi="Arial" w:cs="Arial"/>
          <w:sz w:val="24"/>
          <w:szCs w:val="24"/>
          <w:vertAlign w:val="superscript"/>
        </w:rPr>
        <w:t>(11)</w:t>
      </w:r>
      <w:r>
        <w:rPr>
          <w:rFonts w:ascii="Arial" w:hAnsi="Arial" w:cs="Arial"/>
          <w:sz w:val="24"/>
          <w:szCs w:val="24"/>
        </w:rPr>
        <w:t xml:space="preserve"> La presencia de necrosis peripancreática y su extensión pueden detectarse con una tomografía computarizada con contraste después a las 72 horas del inicio del cuadro; antes de este tiempo la TC no evidencia áreas  necróticas/isquémicas,  y  no modifica el manejo clínico durante la primera semana  de  la  enfermedad. </w:t>
      </w:r>
      <w:r>
        <w:rPr>
          <w:rFonts w:ascii="Arial" w:hAnsi="Arial" w:cs="Arial"/>
          <w:sz w:val="24"/>
          <w:szCs w:val="24"/>
          <w:vertAlign w:val="superscript"/>
        </w:rPr>
        <w:t xml:space="preserve">(19)  </w:t>
      </w:r>
      <w:r>
        <w:rPr>
          <w:rFonts w:ascii="Arial" w:hAnsi="Arial" w:cs="Arial"/>
          <w:sz w:val="24"/>
          <w:szCs w:val="24"/>
        </w:rPr>
        <w:t xml:space="preserve">La necrosis pancreática o peripancreática sobreinfectada puede sospecharse por la presencia de gas en las imágenes. </w:t>
      </w:r>
    </w:p>
    <w:p>
      <w:pPr>
        <w:spacing w:line="360" w:lineRule="auto"/>
        <w:jc w:val="both"/>
        <w:rPr>
          <w:rFonts w:ascii="Arial" w:hAnsi="Arial" w:cs="Arial"/>
          <w:sz w:val="24"/>
          <w:szCs w:val="24"/>
        </w:rPr>
      </w:pPr>
      <w:r>
        <w:rPr>
          <w:rFonts w:ascii="Arial" w:hAnsi="Arial" w:cs="Arial"/>
          <w:sz w:val="24"/>
          <w:szCs w:val="24"/>
        </w:rPr>
        <w:t xml:space="preserve">La resonancia magnética nuclear (RMN) es una buena alternativa en casos de alergia al contraste yodado o insuficiencia renal (RMN no contrasta-da), en pacientes jóvenes o en embarazadas para minimizar la exposición a la radiación. </w:t>
      </w:r>
      <w:r>
        <w:rPr>
          <w:rFonts w:ascii="Arial" w:hAnsi="Arial" w:cs="Arial"/>
          <w:sz w:val="24"/>
          <w:szCs w:val="24"/>
          <w:vertAlign w:val="superscript"/>
        </w:rPr>
        <w:t>(13)</w:t>
      </w:r>
      <w:r>
        <w:rPr>
          <w:rFonts w:ascii="Arial" w:hAnsi="Arial" w:cs="Arial"/>
          <w:sz w:val="24"/>
          <w:szCs w:val="24"/>
        </w:rPr>
        <w:t xml:space="preserve"> Si  la  etiología  de  la  PA  no  ha  podido  ser  establecida y la ecografía abdominal no evidencia cálculos biliares, barro biliar u obstrucción biliar, en  ausencia  de  colangitis  o  pruebas  anormales  de la función hepática que sugieran obstrucción biliar,  para  descartar  coledocolitiasis  oculta  se  pueden utilizar la colangiopancreatografía por resonancia magnética nuclear (CPRMN) o el ultra-sonido endoscópico (USE), las cuales se prefieren en lugar de la  colangiopancreatografía retrógrada endoscópica diagnóstica (CPRE), por las características invasivas y el riesgo de complicaciones de este estudio. </w:t>
      </w:r>
      <w:r>
        <w:rPr>
          <w:rFonts w:ascii="Arial" w:hAnsi="Arial" w:cs="Arial"/>
          <w:sz w:val="24"/>
          <w:szCs w:val="24"/>
          <w:vertAlign w:val="superscript"/>
        </w:rPr>
        <w:t>(19, 20)</w:t>
      </w:r>
      <w:r>
        <w:rPr>
          <w:rFonts w:ascii="Arial" w:hAnsi="Arial" w:cs="Arial"/>
          <w:sz w:val="24"/>
          <w:szCs w:val="24"/>
        </w:rPr>
        <w:t xml:space="preserve"> En cuanto a estudios de laboratorio, la medición de las enzimas pancreáticas en suero es el “estándar de oro” para el diagnóstico de la enfermedad. En un episodio de PA, la amilasa, la lipasa, la elastasa y la tripsina se liberan al torrente sanguíneo al mismo tiempo, pero el aclaramiento sérico varía según el momento en que se tome la muestra. </w:t>
      </w:r>
      <w:r>
        <w:rPr>
          <w:rFonts w:ascii="Arial" w:hAnsi="Arial" w:cs="Arial"/>
          <w:sz w:val="24"/>
          <w:szCs w:val="24"/>
          <w:vertAlign w:val="superscript"/>
        </w:rPr>
        <w:t>(13)</w:t>
      </w:r>
      <w:r>
        <w:rPr>
          <w:rFonts w:ascii="Arial" w:hAnsi="Arial" w:cs="Arial"/>
          <w:sz w:val="24"/>
          <w:szCs w:val="24"/>
        </w:rPr>
        <w:t xml:space="preserve"> La amilasa es una enzima secretada por el páncreas, las glándulas salivales, el intestino delgado, los ovarios, el tejido adiposo  y  el  músculo  esquelético. En PA, los niveles séricos de amilasa generalmente aumentan en las primeras 6 a 24 horas, alcanzan su punto máximo a las 48 horas y disminuyen a niveles normales o casi normales en los próximos 3 a 7 días. </w:t>
      </w:r>
      <w:r>
        <w:rPr>
          <w:rFonts w:ascii="Arial" w:hAnsi="Arial" w:cs="Arial"/>
          <w:sz w:val="24"/>
          <w:szCs w:val="24"/>
          <w:vertAlign w:val="superscript"/>
        </w:rPr>
        <w:t>(11)</w:t>
      </w:r>
      <w:r>
        <w:rPr>
          <w:rFonts w:ascii="Arial" w:hAnsi="Arial" w:cs="Arial"/>
          <w:sz w:val="24"/>
          <w:szCs w:val="24"/>
        </w:rPr>
        <w:t xml:space="preserve"> La PA es la razón principal de elevación  en  la lipasa sérica, pero puede encontrarse elevada también  en  otras  patologías  como  enfermedad  renal, apendicitis, colecistitis aguda, pancreatitis crónica y obstrucción intestinal. En PA, la lipasa sérica permanece elevada durante un período más prolongado que la amilasa sérica. Se eleva en las primeras 4 a 8 horas, alcanza su punto máximo a las 24 horas y disminuye a niveles normales o casi normales en los próximos 8 a 14 días. Una revisión de  Cochrane  con  el  objetivo  de  comparar  la  precisión  de  diferentes  enzimas  pancreáticas en el diagnóstico de PA mostró una sensibilidad de 72 % y una especificidad de 93 % para la amilasa sérica, y una sensibilidad de 79 % y una especificidad de 89 % para la lipasa sérica. Aunque ninguna prueba individual muestra una precisión diagnóstica  óptima,  la  mayoría  de  las  guías y recomendaciones actuales indican que la lipasa debe preferirse a la amilasa. </w:t>
      </w:r>
      <w:r>
        <w:rPr>
          <w:rFonts w:ascii="Arial" w:hAnsi="Arial" w:cs="Arial"/>
          <w:sz w:val="24"/>
          <w:szCs w:val="24"/>
          <w:vertAlign w:val="superscript"/>
        </w:rPr>
        <w:t xml:space="preserve">(13) </w:t>
      </w:r>
      <w:r>
        <w:rPr>
          <w:rFonts w:ascii="Arial" w:hAnsi="Arial" w:cs="Arial"/>
          <w:sz w:val="24"/>
          <w:szCs w:val="24"/>
        </w:rPr>
        <w:t xml:space="preserve">En ausencia de cálculos biliares o antecedentes significativos de consumo de alcohol, el nivel de triglicéridos séricos debe medirse y considerarse como la causa de la PA si el valor es mayor de 1000 mg/dl (11,3 mmol/l). Se han estudiado numerosos biomarcadores como posibles predictores tempranos de severidad en PA para adaptar el tratamiento de manera óptima y prevenir complicaciones. </w:t>
      </w:r>
      <w:r>
        <w:rPr>
          <w:rFonts w:ascii="Arial" w:hAnsi="Arial" w:cs="Arial"/>
          <w:sz w:val="24"/>
          <w:szCs w:val="24"/>
          <w:vertAlign w:val="superscript"/>
        </w:rPr>
        <w:t>(21)</w:t>
      </w:r>
      <w:r>
        <w:rPr>
          <w:rFonts w:ascii="Arial" w:hAnsi="Arial" w:cs="Arial"/>
          <w:sz w:val="24"/>
          <w:szCs w:val="24"/>
        </w:rPr>
        <w:t xml:space="preserve"> Actualmente, ninguna prueba de laboratorio es consistentemente precisa para predecir la gravedad en pacientes con PA, sin embargo, muchos estudios resaltan el valor de la proteína C reactiva (PCR) para la evaluación de la gravedad de la enfermedad. Con un valor de corte de 110 a 150 mg/l en el momento del ingreso al hospital, la sensibilidad osciló entre el 38 y el 61 % y la especificidad entre el 89 y el 90 %. El principal inconveniente de la PCR es que los niveles máximos se alcanzan solo después de 48 a 72 horas. </w:t>
      </w:r>
      <w:r>
        <w:rPr>
          <w:rFonts w:ascii="Arial" w:hAnsi="Arial" w:cs="Arial"/>
          <w:sz w:val="24"/>
          <w:szCs w:val="24"/>
          <w:vertAlign w:val="superscript"/>
        </w:rPr>
        <w:t>(21)</w:t>
      </w:r>
      <w:r>
        <w:rPr>
          <w:rFonts w:ascii="Arial" w:hAnsi="Arial" w:cs="Arial"/>
          <w:sz w:val="24"/>
          <w:szCs w:val="24"/>
        </w:rPr>
        <w:t xml:space="preserve"> Otros estudios de laboratorio utilizados para predecir un curso  severo  de  la  enfermedad  son  el nitrógeno ureico (BUN) mayor de 20 mg/dl (&gt; 7,14 mmol/l) o en aumento, el hematocrito (HCT) mayor  de  44  %  o  en  aumento,  el  lactato  deshidrogenasa  (LDH)  y  la  procalcitonina,  que  puede  predecir  necrosis  sobreinfectada  en  pacientes  con necrosis pancreática confirmada. Un valor de procalcitonina de 3,8 ng/ml o más dentro de las 96 horas posteriores al inicio de los síntomas indica sobreinfección de un área necrótica con una sensibilidad del 93% y una especificidad del 79 %. </w:t>
      </w:r>
      <w:r>
        <w:rPr>
          <w:rFonts w:ascii="Arial" w:hAnsi="Arial" w:cs="Arial"/>
          <w:sz w:val="24"/>
          <w:szCs w:val="24"/>
          <w:vertAlign w:val="superscript"/>
        </w:rPr>
        <w:t xml:space="preserve">(21)  </w:t>
      </w:r>
      <w:r>
        <w:rPr>
          <w:rFonts w:ascii="Arial" w:hAnsi="Arial" w:cs="Arial"/>
          <w:sz w:val="24"/>
          <w:szCs w:val="24"/>
        </w:rPr>
        <w:t xml:space="preserve">También se ha demostrado que niveles elevados de lactato sérico al ingreso pueden predecir PA severa, muerte e ingreso en la UCI, pero deben considerarse subóptimos como marcadores únicos. </w:t>
      </w:r>
      <w:r>
        <w:rPr>
          <w:rFonts w:ascii="Arial" w:hAnsi="Arial" w:cs="Arial"/>
          <w:sz w:val="24"/>
          <w:szCs w:val="24"/>
          <w:vertAlign w:val="superscript"/>
        </w:rPr>
        <w:t>(13)</w:t>
      </w:r>
      <w:r>
        <w:rPr>
          <w:rFonts w:ascii="Arial" w:hAnsi="Arial" w:cs="Arial"/>
          <w:sz w:val="24"/>
          <w:szCs w:val="24"/>
        </w:rPr>
        <w:t xml:space="preserve"> </w:t>
      </w:r>
    </w:p>
    <w:p>
      <w:pPr>
        <w:spacing w:line="360" w:lineRule="auto"/>
        <w:jc w:val="both"/>
        <w:rPr>
          <w:rFonts w:ascii="Arial" w:hAnsi="Arial" w:cs="Arial"/>
          <w:b/>
          <w:sz w:val="24"/>
          <w:szCs w:val="24"/>
        </w:rPr>
      </w:pPr>
      <w:r>
        <w:rPr>
          <w:rFonts w:ascii="Arial" w:hAnsi="Arial" w:cs="Arial"/>
          <w:b/>
          <w:sz w:val="24"/>
          <w:szCs w:val="24"/>
        </w:rPr>
        <w:t>Escalas de predicción de severidad y mortalidad.</w:t>
      </w:r>
    </w:p>
    <w:p>
      <w:pPr>
        <w:spacing w:line="360" w:lineRule="auto"/>
        <w:jc w:val="both"/>
        <w:rPr>
          <w:rFonts w:ascii="Arial" w:hAnsi="Arial" w:cs="Arial"/>
          <w:sz w:val="24"/>
          <w:szCs w:val="24"/>
        </w:rPr>
      </w:pPr>
      <w:r>
        <w:rPr>
          <w:rFonts w:ascii="Arial" w:hAnsi="Arial" w:cs="Arial"/>
          <w:sz w:val="24"/>
          <w:szCs w:val="24"/>
        </w:rPr>
        <w:t xml:space="preserve">Determinar la severidad del paciente con PA de manera precoz es trascendental para definir la necesidad de monitoreo continuo o avanzado en unidades de cuidados intermedios o intensivos, del inicio de terapia y de una evaluación completa del riesgo de morbimortalidad. </w:t>
      </w:r>
      <w:r>
        <w:rPr>
          <w:rFonts w:ascii="Arial" w:hAnsi="Arial" w:cs="Arial"/>
          <w:sz w:val="24"/>
          <w:szCs w:val="24"/>
          <w:vertAlign w:val="superscript"/>
        </w:rPr>
        <w:t>(22)</w:t>
      </w:r>
      <w:r>
        <w:rPr>
          <w:rFonts w:ascii="Arial" w:hAnsi="Arial" w:cs="Arial"/>
          <w:sz w:val="24"/>
          <w:szCs w:val="24"/>
        </w:rPr>
        <w:t xml:space="preserve"> Como se ha descrito, un paciente con PA puede ser clasificado como severo de acuerdo a los postulados de Atlanta o el índice de severidad por TC, además de múltiples sistemas de puntuación, con evidencia variable sobre su rendimiento para pre-decir la PA severa. </w:t>
      </w:r>
      <w:r>
        <w:rPr>
          <w:rFonts w:ascii="Arial" w:hAnsi="Arial" w:cs="Arial"/>
          <w:sz w:val="24"/>
          <w:szCs w:val="24"/>
          <w:vertAlign w:val="superscript"/>
        </w:rPr>
        <w:t>(22</w:t>
      </w:r>
      <w:r>
        <w:rPr>
          <w:rFonts w:ascii="Arial" w:hAnsi="Arial" w:cs="Arial"/>
          <w:sz w:val="24"/>
          <w:szCs w:val="24"/>
        </w:rPr>
        <w:t xml:space="preserve">) Estos puntajes de predicción se centran en la muerte como desenlace y la mayoría tardan más de 24 horas en estadificar a los pacientes, lo cual puede representar la pérdida de tiempo valioso en el paciente crítico. </w:t>
      </w:r>
      <w:r>
        <w:rPr>
          <w:rFonts w:ascii="Arial" w:hAnsi="Arial" w:cs="Arial"/>
          <w:sz w:val="24"/>
          <w:szCs w:val="24"/>
          <w:vertAlign w:val="superscript"/>
        </w:rPr>
        <w:t>(13)</w:t>
      </w:r>
      <w:r>
        <w:rPr>
          <w:rFonts w:ascii="Arial" w:hAnsi="Arial" w:cs="Arial"/>
          <w:sz w:val="24"/>
          <w:szCs w:val="24"/>
        </w:rPr>
        <w:t xml:space="preserve"> En general, se basan en la demografía del paciente, las características clínicas, los parámetros de laboratorio o hallazgos en imágenes diagnósticas, y se evalúan al ingreso o dentro de las primeras 48 horas. </w:t>
      </w:r>
      <w:r>
        <w:rPr>
          <w:rFonts w:ascii="Arial" w:hAnsi="Arial" w:cs="Arial"/>
          <w:sz w:val="24"/>
          <w:szCs w:val="24"/>
          <w:vertAlign w:val="superscript"/>
        </w:rPr>
        <w:t>(23)</w:t>
      </w:r>
      <w:r>
        <w:rPr>
          <w:rFonts w:ascii="Arial" w:hAnsi="Arial" w:cs="Arial"/>
          <w:sz w:val="24"/>
          <w:szCs w:val="24"/>
        </w:rPr>
        <w:t xml:space="preserve"> Un estudio de 161 pacientes comparó la capacidad de predicción temprana de los puntajes más ampliamente utilizados en PA. Se encontró que los valores de corte significativos para la predicción de PA grave fueron Ranson ≥ 3, BISAP ≥ 3, APA-CHE-II ≥ 8, CTSI ≥ 3 y PCR a las 24 horas ≥ 210 mg/l. Además, evaluó el área bajo la curva (AUC) de cada uno y de manera significativa el resultado para los criterios de Ranson fue AUC 0,69 (S 85,7 %, E 44,3 %, VPP 18,8 %, VPN 95,3 %); para el BISAP fue AUC 0,74 (S 61,9 %, E 72,1 %, VPP 25 %, VPN 92,7 %), y para el APACHE-II fue AUC 0,78 (S 81 %, E 65,7 %, VPP 26,2 %, VPN 95,8 %). </w:t>
      </w:r>
      <w:r>
        <w:rPr>
          <w:rFonts w:ascii="Arial" w:hAnsi="Arial" w:cs="Arial"/>
          <w:sz w:val="24"/>
          <w:szCs w:val="24"/>
          <w:vertAlign w:val="superscript"/>
        </w:rPr>
        <w:t xml:space="preserve">(24)  </w:t>
      </w:r>
      <w:r>
        <w:rPr>
          <w:rFonts w:ascii="Arial" w:hAnsi="Arial" w:cs="Arial"/>
          <w:sz w:val="24"/>
          <w:szCs w:val="24"/>
        </w:rPr>
        <w:t xml:space="preserve">Se concluyó que, aunque los diferentes sistemas de puntuación tienen una precisión predictiva similar para la severidad en PA, el APACHE-II es el más preciso, seguido de cerca por el BISAP. El APACHE-II no es específico para PA, pero cuenta con la ventaja de  ser  un  instrumento  ampliamente  validado,  que  se  puede  aplicar  en  cualquier momento del curso de la enfermedad. La desventaja es que incluye parámetros que pueden ser considerados engorrosos y no recopilados de forma rutinaria. </w:t>
      </w:r>
      <w:r>
        <w:rPr>
          <w:rFonts w:ascii="Arial" w:hAnsi="Arial" w:cs="Arial"/>
          <w:sz w:val="24"/>
          <w:szCs w:val="24"/>
          <w:vertAlign w:val="superscript"/>
        </w:rPr>
        <w:t>(13)</w:t>
      </w:r>
      <w:r>
        <w:rPr>
          <w:rFonts w:ascii="Arial" w:hAnsi="Arial" w:cs="Arial"/>
          <w:sz w:val="24"/>
          <w:szCs w:val="24"/>
        </w:rPr>
        <w:t xml:space="preserve"> El BISAP, un sistema de puntuación pronóstico desarrollado en años  recientes,  ha sido acogido como un método simple para la predicción de PA severa en comparación con los sistemas  de  puntuación  tradicionales.  </w:t>
      </w:r>
    </w:p>
    <w:p>
      <w:pPr>
        <w:spacing w:line="360" w:lineRule="auto"/>
        <w:jc w:val="both"/>
        <w:rPr>
          <w:rFonts w:ascii="Arial" w:hAnsi="Arial" w:cs="Arial"/>
          <w:sz w:val="24"/>
          <w:szCs w:val="24"/>
        </w:rPr>
      </w:pPr>
      <w:r>
        <w:rPr>
          <w:rFonts w:ascii="Arial" w:hAnsi="Arial" w:cs="Arial"/>
          <w:sz w:val="24"/>
          <w:szCs w:val="24"/>
        </w:rPr>
        <w:t xml:space="preserve">Tiene la ventaja de ser un sistema de puntuación sencillo, que se aplica fácilmente en las primeras fases de la enfermedad, con una precisión similar al APACHE-II para predecir mortalidad. Uno de los puntos clave de este estudio es que fue capaz de identificar a los pacientes con mayor riesgo de mortalidad antes del inicio de la insuficiencia orgánica. </w:t>
      </w:r>
      <w:r>
        <w:rPr>
          <w:rFonts w:ascii="Arial" w:hAnsi="Arial" w:cs="Arial"/>
          <w:sz w:val="24"/>
          <w:szCs w:val="24"/>
          <w:vertAlign w:val="superscript"/>
        </w:rPr>
        <w:t>(22)</w:t>
      </w:r>
      <w:r>
        <w:rPr>
          <w:rFonts w:ascii="Arial" w:hAnsi="Arial" w:cs="Arial"/>
          <w:sz w:val="24"/>
          <w:szCs w:val="24"/>
        </w:rPr>
        <w:t xml:space="preserve"> Un análisis retrospectivo de 303 pacientes también reveló que el BISAP predice la gravedad, la mortalidad y especialmente,  la  falla  orgánica  en  PA,  con  el  mismo  rendimiento  del  APACHE-II,  y  mejor  que  los criterios de Ranson, el índice de gravedad de CT, la PCR y el hematocrito. La puntuación BISAP de 2 fue el corte estadísticamente significativo para el diagnóstico de pancreatitis aguda grave, insuficiencia orgánica y mortalidad. </w:t>
      </w:r>
      <w:r>
        <w:rPr>
          <w:rFonts w:ascii="Arial" w:hAnsi="Arial" w:cs="Arial"/>
          <w:sz w:val="24"/>
          <w:szCs w:val="24"/>
          <w:vertAlign w:val="superscript"/>
        </w:rPr>
        <w:t>(11)</w:t>
      </w:r>
    </w:p>
    <w:p>
      <w:pPr>
        <w:spacing w:line="360" w:lineRule="auto"/>
        <w:jc w:val="both"/>
        <w:rPr>
          <w:rFonts w:ascii="Arial" w:hAnsi="Arial" w:cs="Arial"/>
          <w:b/>
          <w:sz w:val="24"/>
          <w:szCs w:val="24"/>
        </w:rPr>
      </w:pPr>
      <w:r>
        <w:rPr>
          <w:rFonts w:ascii="Arial" w:hAnsi="Arial" w:cs="Arial"/>
          <w:b/>
          <w:sz w:val="24"/>
          <w:szCs w:val="24"/>
        </w:rPr>
        <w:t xml:space="preserve">Manejo inicial de la pancreatitis aguda grave en la Unidad de Terapia Intensiva. </w:t>
      </w:r>
    </w:p>
    <w:p>
      <w:pPr>
        <w:spacing w:line="360" w:lineRule="auto"/>
        <w:jc w:val="both"/>
        <w:rPr>
          <w:rFonts w:ascii="Arial" w:hAnsi="Arial" w:cs="Arial"/>
          <w:b/>
          <w:sz w:val="24"/>
          <w:szCs w:val="24"/>
        </w:rPr>
      </w:pPr>
      <w:r>
        <w:rPr>
          <w:rFonts w:ascii="Arial" w:hAnsi="Arial" w:cs="Arial"/>
          <w:b/>
          <w:sz w:val="24"/>
          <w:szCs w:val="24"/>
        </w:rPr>
        <w:t xml:space="preserve"> Líquidos endovenosos.</w:t>
      </w:r>
    </w:p>
    <w:p>
      <w:pPr>
        <w:spacing w:line="360" w:lineRule="auto"/>
        <w:jc w:val="both"/>
        <w:rPr>
          <w:rFonts w:ascii="Arial" w:hAnsi="Arial" w:cs="Arial"/>
          <w:sz w:val="24"/>
          <w:szCs w:val="24"/>
        </w:rPr>
      </w:pPr>
      <w:r>
        <w:rPr>
          <w:rFonts w:ascii="Arial" w:hAnsi="Arial" w:cs="Arial"/>
          <w:sz w:val="24"/>
          <w:szCs w:val="24"/>
        </w:rPr>
        <w:t xml:space="preserve">La terapia  con  líquidos para  prevenir  o  tratar  la  hipovolemia y la hipoperfusión tisular es la piedra  angular  del  tratamiento  inicial  de  la  PA.  Los estudios en humanos con PA que evaluaron la hidratación temprana (dentro de  las  primeras  24 horas) demostraron una disminución tanto en la morbilidad  como  en  la  mortalidad. </w:t>
      </w:r>
      <w:r>
        <w:rPr>
          <w:rFonts w:ascii="Arial" w:hAnsi="Arial" w:cs="Arial"/>
          <w:sz w:val="24"/>
          <w:szCs w:val="24"/>
          <w:vertAlign w:val="superscript"/>
        </w:rPr>
        <w:t>(11)</w:t>
      </w:r>
      <w:r>
        <w:rPr>
          <w:rFonts w:ascii="Arial" w:hAnsi="Arial" w:cs="Arial"/>
          <w:sz w:val="24"/>
          <w:szCs w:val="24"/>
        </w:rPr>
        <w:t xml:space="preserve">  También se evidenció que el volumen total de hidratación a las 48  horas  después  del  ingreso  parece  tener  poco o ningún impacto en el resultado del paciente. La hidratación intravenosa agresiva temprana (250-500 ml por hora), durante las primeras 6 a 24 horas, con una estrecha vigilancia, es de suma importancia. La terapia  con  líquidos  dirigida  por  metas  se  define como la titulación de fluidos intravenosos de acuerdo con parámetros de perfusión clínicos y bioquímicos (por ejemplo, frecuencia cardíaca, pre-sión arterial media, presión venosa central, gasto urinario, BUN, lactato, base exceso y hematocrito).</w:t>
      </w:r>
    </w:p>
    <w:p>
      <w:pPr>
        <w:spacing w:line="360" w:lineRule="auto"/>
        <w:jc w:val="both"/>
        <w:rPr>
          <w:rFonts w:ascii="Arial" w:hAnsi="Arial" w:cs="Arial"/>
          <w:sz w:val="24"/>
          <w:szCs w:val="24"/>
        </w:rPr>
      </w:pPr>
      <w:r>
        <w:rPr>
          <w:rFonts w:ascii="Arial" w:hAnsi="Arial" w:cs="Arial"/>
          <w:sz w:val="24"/>
          <w:szCs w:val="24"/>
        </w:rPr>
        <w:t xml:space="preserve">Se ha demostrado que su uso reduce la mortalidad en la sepsis, una condición con similitudes fisiológicas a la PA. Es importante tener en cuenta que la hidratación temprana agresiva requiere precaución en ciertos grupos de  pacientes,  como  ancianos  y  aquellos con antecedentes de enfermedad cardíaca o renal, para evitar complicaciones como sobrecarga  de  volumen,  edema  pulmonar  y  síndrome  de  compartimiento abdominal. </w:t>
      </w:r>
      <w:r>
        <w:rPr>
          <w:rFonts w:ascii="Arial" w:hAnsi="Arial" w:cs="Arial"/>
          <w:sz w:val="24"/>
          <w:szCs w:val="24"/>
          <w:vertAlign w:val="superscript"/>
        </w:rPr>
        <w:t>(4)</w:t>
      </w:r>
      <w:r>
        <w:rPr>
          <w:rFonts w:ascii="Arial" w:hAnsi="Arial" w:cs="Arial"/>
          <w:sz w:val="24"/>
          <w:szCs w:val="24"/>
        </w:rPr>
        <w:t xml:space="preserve"> </w:t>
      </w:r>
    </w:p>
    <w:p>
      <w:pPr>
        <w:spacing w:line="360" w:lineRule="auto"/>
        <w:jc w:val="both"/>
        <w:rPr>
          <w:rFonts w:ascii="Arial" w:hAnsi="Arial" w:cs="Arial"/>
          <w:b/>
          <w:sz w:val="24"/>
          <w:szCs w:val="24"/>
        </w:rPr>
      </w:pPr>
      <w:r>
        <w:rPr>
          <w:rFonts w:ascii="Arial" w:hAnsi="Arial" w:cs="Arial"/>
          <w:b/>
          <w:sz w:val="24"/>
          <w:szCs w:val="24"/>
        </w:rPr>
        <w:t>Analgesia.</w:t>
      </w:r>
    </w:p>
    <w:p>
      <w:pPr>
        <w:spacing w:line="360" w:lineRule="auto"/>
        <w:jc w:val="both"/>
        <w:rPr>
          <w:rFonts w:ascii="Arial" w:hAnsi="Arial" w:cs="Arial"/>
          <w:sz w:val="24"/>
          <w:szCs w:val="24"/>
        </w:rPr>
      </w:pPr>
      <w:r>
        <w:rPr>
          <w:rFonts w:ascii="Arial" w:hAnsi="Arial" w:cs="Arial"/>
          <w:sz w:val="24"/>
          <w:szCs w:val="24"/>
        </w:rPr>
        <w:t xml:space="preserve">Como se mencionó, el dolor es el síntoma cardinal de la pancreatitis aguda y su alivio es una priori-dad clínica. Todos los pacientes con pancreatitis aguda deben recibir algún tipo de  analgesia  en  las primeras 24 horas de hospitalización para no comprometer su calidad de vida. En la mayoría de las instituciones, se prefieren los opioides sobre los AINES, y de estos  la  hidromorfona  sobre  la  morfina o el fentanilo en el paciente no intubado. A pesar de algunos estudios clínicos aleatorizados, sigue habiendo incertidumbre sobre el analgésico preferido y el mejor método de administración. </w:t>
      </w:r>
      <w:r>
        <w:rPr>
          <w:rFonts w:ascii="Arial" w:hAnsi="Arial" w:cs="Arial"/>
          <w:sz w:val="24"/>
          <w:szCs w:val="24"/>
          <w:vertAlign w:val="superscript"/>
        </w:rPr>
        <w:t xml:space="preserve">(13) </w:t>
      </w:r>
    </w:p>
    <w:p>
      <w:pPr>
        <w:spacing w:line="360" w:lineRule="auto"/>
        <w:jc w:val="both"/>
        <w:rPr>
          <w:rFonts w:ascii="Arial" w:hAnsi="Arial" w:cs="Arial"/>
          <w:b/>
          <w:sz w:val="24"/>
          <w:szCs w:val="24"/>
        </w:rPr>
      </w:pPr>
      <w:r>
        <w:rPr>
          <w:rFonts w:ascii="Arial" w:hAnsi="Arial" w:cs="Arial"/>
          <w:b/>
          <w:sz w:val="24"/>
          <w:szCs w:val="24"/>
        </w:rPr>
        <w:t>Nutrición.</w:t>
      </w:r>
    </w:p>
    <w:p>
      <w:pPr>
        <w:spacing w:line="360" w:lineRule="auto"/>
        <w:jc w:val="both"/>
        <w:rPr>
          <w:rFonts w:ascii="Arial" w:hAnsi="Arial" w:cs="Arial"/>
          <w:sz w:val="24"/>
          <w:szCs w:val="24"/>
        </w:rPr>
      </w:pPr>
      <w:r>
        <w:rPr>
          <w:rFonts w:ascii="Arial" w:hAnsi="Arial" w:cs="Arial"/>
          <w:sz w:val="24"/>
          <w:szCs w:val="24"/>
        </w:rPr>
        <w:t xml:space="preserve">El dogma tradicional en el tratamiento  de  la  PA  prescribía el “reposo intestinal”, en un intento de evitar una mayor estimulación del páncreas inflamado. Sin embargo, la evidencia actual demuestra beneficio en el enfoque opuesto, es decir, la alimentación temprana. Se ha comprobado que mantener la nutrición enteral  ayuda  a  proteger  la  mucosa  intestinal  y  a  reducir  la  translocación  bacteriana,  disminuyendo  así  el  riesgo  de  sobreinfección  de  necrosis peripancreática y otros desenlaces adversos de la PA. Los resultados combinados de 11 ensayos clí-nicos aleatorizados (ECA) que abordaron el papel de la alimentación temprana (primeras 24 horas) versus tardía no demostraron diferencias en la mortalidad. Sin embargo, hubo un riesgo 2,5 veces mayor de intervenciones quirúrgicas por necrosis asociada con la alimentación tardía versus temprana, así como tasas más altas de necrosis peripancreática  sobreinfectada, insuficiencia orgánica múltiple y pancreatitis necrosaste total con la alimentación tardía. </w:t>
      </w:r>
      <w:r>
        <w:rPr>
          <w:rFonts w:ascii="Arial" w:hAnsi="Arial" w:cs="Arial"/>
          <w:sz w:val="24"/>
          <w:szCs w:val="24"/>
          <w:vertAlign w:val="superscript"/>
        </w:rPr>
        <w:t>(4)</w:t>
      </w:r>
      <w:r>
        <w:rPr>
          <w:rFonts w:ascii="Arial" w:hAnsi="Arial" w:cs="Arial"/>
          <w:sz w:val="24"/>
          <w:szCs w:val="24"/>
        </w:rPr>
        <w:t xml:space="preserve"> La nutrición enteral en comparación con la  nutrición parenteral total disminuye las complicaciones infecciosas, la insuficiencia orgánica y la mortalidad. En 12 ECA que compararon el uso de nutrición parenteral total versus alimentación enteral (vía oral o sonda enteral) en pacientes con PA se encontró evidencia suficiente para apoyar el beneficio de la nutrición enteral sobre la nutrición parenteral  total  con  respecto  al  riesgo  reducido  de  necrosis  peripancreática  sobreinfectada, falla orgánica única y falla orgánica múltiple. </w:t>
      </w:r>
      <w:r>
        <w:rPr>
          <w:rFonts w:ascii="Arial" w:hAnsi="Arial" w:cs="Arial"/>
          <w:sz w:val="24"/>
          <w:szCs w:val="24"/>
          <w:vertAlign w:val="superscript"/>
        </w:rPr>
        <w:t>(4)</w:t>
      </w:r>
      <w:r>
        <w:rPr>
          <w:rFonts w:ascii="Arial" w:hAnsi="Arial" w:cs="Arial"/>
          <w:sz w:val="24"/>
          <w:szCs w:val="24"/>
        </w:rPr>
        <w:t xml:space="preserve"> En  cuanto  al  traslado  a  unidad  de  cuidado  intensivo, la mayoría de las guías a nivel mundial concuerdan en que los pacientes con pancreatitis aguda severa  o falla orgánica instaurada deben ser ingresados para garantizar un adecuado tratamiento y monitoria avanzada continua de las variables vitales, lo cual es crucial en el escenario de administración agresiva de líquidos, el manejo adecuado  del  dolor  con  estrategias  potencial-mente  dañinas  y  la  evaluación  de  la  función  orgánica. </w:t>
      </w:r>
      <w:r>
        <w:rPr>
          <w:rFonts w:ascii="Arial" w:hAnsi="Arial" w:cs="Arial"/>
          <w:sz w:val="24"/>
          <w:szCs w:val="24"/>
          <w:vertAlign w:val="superscript"/>
        </w:rPr>
        <w:t>(3, 13)</w:t>
      </w:r>
    </w:p>
    <w:p>
      <w:pPr>
        <w:spacing w:line="360" w:lineRule="auto"/>
        <w:jc w:val="both"/>
        <w:rPr>
          <w:rFonts w:ascii="Arial" w:hAnsi="Arial" w:cs="Arial"/>
          <w:sz w:val="24"/>
          <w:szCs w:val="24"/>
        </w:rPr>
      </w:pPr>
      <w:r>
        <w:rPr>
          <w:rFonts w:ascii="Arial" w:hAnsi="Arial" w:cs="Arial"/>
          <w:b/>
          <w:sz w:val="24"/>
          <w:szCs w:val="24"/>
        </w:rPr>
        <w:t>Colangio pancreatografía retrógrada endoscópica</w:t>
      </w:r>
      <w:r>
        <w:rPr>
          <w:rFonts w:ascii="Arial" w:hAnsi="Arial" w:cs="Arial"/>
          <w:sz w:val="24"/>
          <w:szCs w:val="24"/>
        </w:rPr>
        <w:t>.</w:t>
      </w:r>
    </w:p>
    <w:p>
      <w:pPr>
        <w:spacing w:line="360" w:lineRule="auto"/>
        <w:jc w:val="both"/>
        <w:rPr>
          <w:rFonts w:ascii="Arial" w:hAnsi="Arial" w:cs="Arial"/>
          <w:sz w:val="24"/>
          <w:szCs w:val="24"/>
        </w:rPr>
      </w:pPr>
      <w:r>
        <w:rPr>
          <w:rFonts w:ascii="Arial" w:hAnsi="Arial" w:cs="Arial"/>
          <w:sz w:val="24"/>
          <w:szCs w:val="24"/>
        </w:rPr>
        <w:t xml:space="preserve">En cuanto  al  uso  rutinario  de  CPRE  en  paciente  con PA de origen biliar, una revisión sistemática de siete ECA que incluyó a 757 participantes no encontró  evidencia  para  apoyar  esta  conducta.  Además, entre los ECA que incluyeron pacientes con colangitis sin obstrucción de  la  vía  biliar,  la  CPRE temprana rutinaria aumento significativa-mente la mortalidad, así como las complicaciones locales y sistémicas. </w:t>
      </w:r>
      <w:r>
        <w:rPr>
          <w:rFonts w:ascii="Arial" w:hAnsi="Arial" w:cs="Arial"/>
          <w:sz w:val="24"/>
          <w:szCs w:val="24"/>
          <w:vertAlign w:val="superscript"/>
        </w:rPr>
        <w:t>(11)</w:t>
      </w:r>
      <w:r>
        <w:rPr>
          <w:rFonts w:ascii="Arial" w:hAnsi="Arial" w:cs="Arial"/>
          <w:sz w:val="24"/>
          <w:szCs w:val="24"/>
        </w:rPr>
        <w:t xml:space="preserve"> Por el contrario, en pacientes con obstrucción biliar demostrada, la CPRE  temprana  rutinaria  se  asoció  con  una  reducción  significativa de las complicaciones locales y una tendencia no significativa hacia la reducción de las  complicaciones  sistémicas.</w:t>
      </w:r>
      <w:r>
        <w:rPr>
          <w:rFonts w:ascii="Arial" w:hAnsi="Arial" w:cs="Arial"/>
          <w:sz w:val="24"/>
          <w:szCs w:val="24"/>
          <w:vertAlign w:val="superscript"/>
        </w:rPr>
        <w:t xml:space="preserve"> (11)</w:t>
      </w:r>
      <w:r>
        <w:rPr>
          <w:rFonts w:ascii="Arial" w:hAnsi="Arial" w:cs="Arial"/>
          <w:sz w:val="24"/>
          <w:szCs w:val="24"/>
        </w:rPr>
        <w:t xml:space="preserve">   Por lo anterior la  CPRE  tiene  indicación  únicamente  en  PA  con  obstrucción de la vía biliar comprobada.</w:t>
      </w:r>
    </w:p>
    <w:p>
      <w:pPr>
        <w:spacing w:line="360" w:lineRule="auto"/>
        <w:jc w:val="both"/>
        <w:rPr>
          <w:rFonts w:ascii="Arial" w:hAnsi="Arial" w:cs="Arial"/>
          <w:b/>
          <w:sz w:val="24"/>
          <w:szCs w:val="24"/>
        </w:rPr>
      </w:pPr>
      <w:r>
        <w:rPr>
          <w:rFonts w:ascii="Arial" w:hAnsi="Arial" w:cs="Arial"/>
          <w:b/>
          <w:sz w:val="24"/>
          <w:szCs w:val="24"/>
        </w:rPr>
        <w:t>Manejo antibiótico.</w:t>
      </w:r>
    </w:p>
    <w:p>
      <w:pPr>
        <w:spacing w:line="360" w:lineRule="auto"/>
        <w:jc w:val="both"/>
        <w:rPr>
          <w:rFonts w:ascii="Arial" w:hAnsi="Arial" w:cs="Arial"/>
          <w:sz w:val="24"/>
          <w:szCs w:val="24"/>
        </w:rPr>
      </w:pPr>
      <w:r>
        <w:rPr>
          <w:rFonts w:ascii="Arial" w:hAnsi="Arial" w:cs="Arial"/>
          <w:sz w:val="24"/>
          <w:szCs w:val="24"/>
        </w:rPr>
        <w:t xml:space="preserve">La evidencia reciente ha demostrado que los anti-bióticos profilácticos en pacientes con pancreatitis aguda no están asociados a una disminución significativa de la mortalidad o la morbilidad, por lo que no se recomiendan. La antibioticoterapia está indicada en el manejo de la pancreatitis aguda  sobreinfectada.  El diagnóstico de la infección de los focos de necrosis pancreática es desafiante debido a que el cuadro clínico en ocasiones no  se  puede  distinguir  de  otras complicaciones infecciosas o del estado inflamatorio causado por la enfermedad misma. </w:t>
      </w:r>
      <w:r>
        <w:rPr>
          <w:rFonts w:ascii="Arial" w:hAnsi="Arial" w:cs="Arial"/>
          <w:sz w:val="24"/>
          <w:szCs w:val="24"/>
          <w:vertAlign w:val="superscript"/>
        </w:rPr>
        <w:t xml:space="preserve">(13) </w:t>
      </w:r>
      <w:r>
        <w:rPr>
          <w:rFonts w:ascii="Arial" w:hAnsi="Arial" w:cs="Arial"/>
          <w:sz w:val="24"/>
          <w:szCs w:val="24"/>
        </w:rPr>
        <w:t xml:space="preserve">Se puede sospechar clínicamente en un paciente con PA  severa,  con  necrosis  pancreática  previa-mente evidenciada por imágenes (generalmente TC) y un curso tórpido pese al adecuado manejo. Varios estudios han demostrado que las mediciones séricas de procalcitonina pueden ser valiosas para  el  diagnóstico  de  la  sobreinfección.  La  presencia  de  gas  en  el  retroperitoneo  también  sugiere el compromiso infeccioso en el escenario de PA severa, pero solo se presenta en un número limitado de pacientes. La  patogenia  de  la  infección  bacteriana  secundaria  de  la  necrosis  pancreática  todavía  se  debate. Los patógenos pueden llegar al páncreas por  vía  hematógena,  por  vía  ascendente  desde  el  duodeno  a  través  del  conducto  pancreático  principal,  o  mediante  la  migración  transmural  por translocación de las bacterias desde el colon. La mayoría de los patógenos en la necrosis pancreática infectada son bacterias Gram negativas gastrointestinales. </w:t>
      </w:r>
      <w:r>
        <w:rPr>
          <w:rFonts w:ascii="Arial" w:hAnsi="Arial" w:cs="Arial"/>
          <w:sz w:val="24"/>
          <w:szCs w:val="24"/>
          <w:vertAlign w:val="superscript"/>
        </w:rPr>
        <w:t>(13, 25)</w:t>
      </w:r>
      <w:r>
        <w:rPr>
          <w:rFonts w:ascii="Arial" w:hAnsi="Arial" w:cs="Arial"/>
          <w:sz w:val="24"/>
          <w:szCs w:val="24"/>
        </w:rPr>
        <w:t xml:space="preserve"> Bajo una  fuerte  sospecha  clínica  y  paraclínica  de  PA  sobreinfectada,  se  indica  el  inicio  de  antibioticoterapia empírica. Los antibióticos seleccionados deben tener una adecuada penetración en  el  tejido  pancreático.  Entre los  comúnmente  indicados  se  incluyen  piperacilina/tazobactam,  quinolonas (ciprofloxacino o moxifloxacino), me-tronidazol y carbapenémicos. </w:t>
      </w:r>
      <w:r>
        <w:rPr>
          <w:rFonts w:ascii="Arial" w:hAnsi="Arial" w:cs="Arial"/>
          <w:sz w:val="24"/>
          <w:szCs w:val="24"/>
          <w:vertAlign w:val="superscript"/>
        </w:rPr>
        <w:t xml:space="preserve">(13) </w:t>
      </w:r>
      <w:r>
        <w:rPr>
          <w:rFonts w:ascii="Arial" w:hAnsi="Arial" w:cs="Arial"/>
          <w:sz w:val="24"/>
          <w:szCs w:val="24"/>
        </w:rPr>
        <w:t xml:space="preserve">Posteriormente  se  debe  realizar  la  compro-bación microbiológica, para la cual el estudio de elección  es  la  punción  de  las  áreas  necróticas  pancreáticas, guiada por imágenes, generalmente ultrasonido endoscópico. Se obtienen muestras para tinción de Gram y cultivo que sirve de guía para elegir un régimen antibiótico individualizado apropiado. Manejo percutáneo y endoscópico La publicación del estudio PANTER ha solidificado las intervenciones escalonadas como el estándar de tratamiento en la PA. En general, los pacientes con PA no requieren intervenciones invasivas, sin embargo, existen escenarios puntuales en los cuales el paciente se puede beneficiar de las mismas. Siempre procurarse realizar en primera instancia el procedimiento menos invasivo efectivo. </w:t>
      </w:r>
      <w:r>
        <w:rPr>
          <w:rFonts w:ascii="Arial" w:hAnsi="Arial" w:cs="Arial"/>
          <w:sz w:val="24"/>
          <w:szCs w:val="24"/>
          <w:vertAlign w:val="superscript"/>
        </w:rPr>
        <w:t>(13)</w:t>
      </w:r>
      <w:r>
        <w:rPr>
          <w:rFonts w:ascii="Arial" w:hAnsi="Arial" w:cs="Arial"/>
          <w:sz w:val="24"/>
          <w:szCs w:val="24"/>
        </w:rPr>
        <w:t xml:space="preserve"> En  cuanto  a  las  complicaciones  locales,  la  mayoría  de  los  pacientes  pueden  tratarse  sin  intervenciones invasivas. Las colecciones peripancreáticas  agudas  resuelven  casi  en  su  totalidad  en  los  primeros  7-10  días.  Solo un  6  %  de  las  colecciones  peripancreáticas  se  convierten  en  pseudoquistes  pancreáticos,  los  cuales  tienden  a resolver espontáneamente hasta en el 70 % de los  casos,  por  lo  que  pueden  ser  manejados  con  observación e imágenes de control. Tienen indicación  de  drenaje  si  durante  el  seguimiento  a  6  meses el paciente desarrolla síntomas como dolor abdominal, ictericia, saciedad temprana o fiebre, o se logra demostrar un crecimiento del pseudoquiste en el control imagenológico. Las colecciones  necróticas  agudas  y  las  colecciones  necróticas  “amuralladas”  son  en  un  principio estériles y tienden a resolver espontáneamente  con  el  manejo  de  soporte  para  la  PA.  Sin embargo,  en  presencia  de  deterioro  clínico,  toxicidad  sistémica  o  ante  la  sospecha  por  imágenes  de  sobreinfección,  se  debe  obtener  una  punción-aspiración con aguja fina guiada por imágenes para confirmar la infección. Las indicaciones para intervención sin signos que hagan sospechar infección incluyen la presencia de obstrucción mecánica (gástrica, intestinal o biliar) y los síntomas persistentes por más de 8 semanas posterior al diagnóstico de PA. </w:t>
      </w:r>
      <w:r>
        <w:rPr>
          <w:rFonts w:ascii="Arial" w:hAnsi="Arial" w:cs="Arial"/>
          <w:sz w:val="24"/>
          <w:szCs w:val="24"/>
          <w:vertAlign w:val="superscript"/>
        </w:rPr>
        <w:t xml:space="preserve">(13) </w:t>
      </w:r>
      <w:r>
        <w:rPr>
          <w:rFonts w:ascii="Arial" w:hAnsi="Arial" w:cs="Arial"/>
          <w:sz w:val="24"/>
          <w:szCs w:val="24"/>
        </w:rPr>
        <w:t xml:space="preserve">El drenaje de las colecciones suele ser individualizado  y  se  basa  en  múltiples  características  que incluyen la localización, extensión y comuni-cación  con  ductos  pancreáticos  y  estado  clínico  del paciente. Debido a que las colecciones suelen encontrarse en estrecho contacto con las paredes gástricas o duodenales, el procedimiento de elección suele ser un drenaje transmural guiado por ecoendoscopia,  donde  se  crea  un  tracto  entre  la  colección y el lumen gástrico o duodenal mediante la colocación de stents metálicos de hasta 10 F o 20 mm de diámetro. En ocasiones también se hace desbridamiento directo del material necrótico mediante visión e instrumental endoscópico 5. Una revisión sistemática de 11 estudios y 384 pacientes que  evaluó  el  drenaje  percutáneo  con  catéter como tratamiento primario para la pancreatitis necrosante, encontró necrosis sobreinfectada en el 71 % de los pacientes y el 56 % no requirió cirugía después del drenaje percutáneo 37. Adicionalmente, el drenaje percutáneo permite retrasar una posible intervención quirúrgica  subsecuente  para un momento más favorable. </w:t>
      </w:r>
    </w:p>
    <w:p>
      <w:pPr>
        <w:spacing w:line="360" w:lineRule="auto"/>
        <w:jc w:val="both"/>
        <w:rPr>
          <w:rFonts w:ascii="Arial" w:hAnsi="Arial" w:cs="Arial"/>
          <w:b/>
          <w:sz w:val="24"/>
          <w:szCs w:val="24"/>
        </w:rPr>
      </w:pPr>
      <w:r>
        <w:rPr>
          <w:rFonts w:ascii="Arial" w:hAnsi="Arial" w:cs="Arial"/>
          <w:b/>
          <w:sz w:val="24"/>
          <w:szCs w:val="24"/>
        </w:rPr>
        <w:t>Manejo quirúrgico.</w:t>
      </w:r>
    </w:p>
    <w:p>
      <w:pPr>
        <w:spacing w:line="360" w:lineRule="auto"/>
        <w:jc w:val="both"/>
        <w:rPr>
          <w:rFonts w:ascii="Arial" w:hAnsi="Arial" w:cs="Arial"/>
          <w:sz w:val="24"/>
          <w:szCs w:val="24"/>
          <w:vertAlign w:val="superscript"/>
        </w:rPr>
      </w:pPr>
      <w:r>
        <w:rPr>
          <w:rFonts w:ascii="Arial" w:hAnsi="Arial" w:cs="Arial"/>
          <w:sz w:val="24"/>
          <w:szCs w:val="24"/>
        </w:rPr>
        <w:t xml:space="preserve">Cuando el  manejo  conservador  y  las  estrategias  percutáneas  o  endoscópicas  fallan  en  mejorar  la  condición  del  paciente,  se  debe  considerar  necrosectomía  por  cirugía  vía  laparoscópica,  ci-rugía abierta o una combinación de ambas. Como se demostró  en  un  metaanálisis  del  2014,  estas  intervenciones mayores provocan una mayor respuesta inflamatoria que puede comprometer a un paciente críticamente enfermo y con reservas fisiológicas depletadas, por lo que deben utilizarse solo ante la imposibilidad o fallo de las estrategias mínimamente invasivas mencionadas. La  colecistectomía  es  otro  punto  importante  en  el  manejo  de  la  PA  de  origen  biliar.  Dos  re-visiones  sistemáticas  diferentes  indican  que  la  colecistectomía  temprana  (primeras  72  horas)  para PA leve es segura. </w:t>
      </w:r>
      <w:r>
        <w:rPr>
          <w:rFonts w:ascii="Arial" w:hAnsi="Arial" w:cs="Arial"/>
          <w:sz w:val="24"/>
          <w:szCs w:val="24"/>
          <w:vertAlign w:val="superscript"/>
        </w:rPr>
        <w:t>(26)</w:t>
      </w:r>
      <w:r>
        <w:rPr>
          <w:rFonts w:ascii="Arial" w:hAnsi="Arial" w:cs="Arial"/>
          <w:sz w:val="24"/>
          <w:szCs w:val="24"/>
        </w:rPr>
        <w:t xml:space="preserve"> Un ECA multicéntrico con 266 pacientes concluyó que la colecistectomía realizada luego del egreso del paciente resultó en un  mayor  número  de  complicaciones,  especial-mente pancreatitis recurrente y cólico biliar. </w:t>
      </w:r>
      <w:r>
        <w:rPr>
          <w:rFonts w:ascii="Arial" w:hAnsi="Arial" w:cs="Arial"/>
          <w:sz w:val="24"/>
          <w:szCs w:val="24"/>
          <w:vertAlign w:val="superscript"/>
        </w:rPr>
        <w:t>(13)</w:t>
      </w:r>
      <w:r>
        <w:rPr>
          <w:rFonts w:ascii="Arial" w:hAnsi="Arial" w:cs="Arial"/>
          <w:sz w:val="24"/>
          <w:szCs w:val="24"/>
        </w:rPr>
        <w:t xml:space="preserve"> El síndrome  de  compartimiento  abdominal,  una entidad con mortalidad de hasta el 60 % que ocurre en pacientes con PA severa, es otra indicación de manejo quirúrgico. Se debe considerar la descompresión quirúrgica por laparotomía cuan-do los métodos conservadores son insuficientes. </w:t>
      </w:r>
      <w:r>
        <w:rPr>
          <w:rFonts w:ascii="Arial" w:hAnsi="Arial" w:cs="Arial"/>
          <w:sz w:val="24"/>
          <w:szCs w:val="24"/>
          <w:vertAlign w:val="superscript"/>
        </w:rPr>
        <w:t>(7)</w:t>
      </w:r>
      <w:r>
        <w:rPr>
          <w:rFonts w:ascii="Arial" w:hAnsi="Arial" w:cs="Arial"/>
          <w:sz w:val="24"/>
          <w:szCs w:val="24"/>
        </w:rPr>
        <w:t xml:space="preserve"> Las complicaciones hemorrágicas en la PA severa, como  la  trombosis  venosa  esplénica  o  los  pseudoaneurismas, pueden justificar intervenciones quirúrgicas  si  el  abordaje  endovascular  no  tiene  éxito. Las complicaciones intestinales y otras complicaciones extrapancreáticas  son  relativamente  raras, pero pueden requerir cirugía. </w:t>
      </w:r>
      <w:r>
        <w:rPr>
          <w:rFonts w:ascii="Arial" w:hAnsi="Arial" w:cs="Arial"/>
          <w:sz w:val="24"/>
          <w:szCs w:val="24"/>
          <w:vertAlign w:val="superscript"/>
        </w:rPr>
        <w:t>(13)</w:t>
      </w:r>
    </w:p>
    <w:p>
      <w:pPr>
        <w:spacing w:line="360" w:lineRule="auto"/>
        <w:jc w:val="both"/>
        <w:rPr>
          <w:rFonts w:ascii="Arial" w:hAnsi="Arial" w:cs="Arial"/>
          <w:b/>
          <w:sz w:val="24"/>
          <w:szCs w:val="24"/>
        </w:rPr>
      </w:pPr>
      <w:r>
        <w:rPr>
          <w:rFonts w:ascii="Arial" w:hAnsi="Arial" w:cs="Arial"/>
          <w:b/>
          <w:sz w:val="24"/>
          <w:szCs w:val="24"/>
        </w:rPr>
        <w:t>Unidad de Cuidados Intensivos.</w:t>
      </w:r>
    </w:p>
    <w:p>
      <w:pPr>
        <w:spacing w:line="360" w:lineRule="auto"/>
        <w:jc w:val="both"/>
        <w:rPr>
          <w:rFonts w:ascii="Arial" w:hAnsi="Arial" w:cs="Arial"/>
          <w:sz w:val="24"/>
          <w:szCs w:val="24"/>
        </w:rPr>
      </w:pPr>
      <w:r>
        <w:rPr>
          <w:rFonts w:ascii="Arial" w:hAnsi="Arial" w:cs="Arial"/>
          <w:sz w:val="24"/>
          <w:szCs w:val="24"/>
        </w:rPr>
        <w:t xml:space="preserve">El ingreso en la UCI será necesario en casos de un estado desfavorecedor en el paciente por lo que requiera de cuidados intensivos. El factor principal en la evolución de una PA es la presencia o no de FO persistente, por lo que las primeras 72h de evolución son cruciales para su detección precoz. Por ello, es importante conocer los signos de alarma pancreática para la valoración de un ingreso en esta unidad. A continuación, podemos observar una hoja de ruta realizada por Maraví Poma E et all con el aval científico de la SEMICYUC para el manejo anticipado de la PA y su valoración de ingreso en la UCI. </w:t>
      </w:r>
      <w:r>
        <w:rPr>
          <w:rFonts w:ascii="Arial" w:hAnsi="Arial" w:cs="Arial"/>
          <w:sz w:val="24"/>
          <w:szCs w:val="24"/>
          <w:vertAlign w:val="superscript"/>
        </w:rPr>
        <w:t>(27)</w:t>
      </w:r>
      <w:r>
        <w:rPr>
          <w:rFonts w:ascii="Arial" w:hAnsi="Arial" w:cs="Arial"/>
          <w:sz w:val="24"/>
          <w:szCs w:val="24"/>
        </w:rPr>
        <w:t xml:space="preserve"> (ver anexo 2)</w:t>
      </w: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p>
    <w:p>
      <w:pPr>
        <w:spacing w:line="360" w:lineRule="auto"/>
        <w:jc w:val="both"/>
        <w:rPr>
          <w:rFonts w:ascii="Arial" w:hAnsi="Arial" w:cs="Arial"/>
          <w:b/>
          <w:sz w:val="24"/>
        </w:rPr>
      </w:pPr>
      <w:r>
        <w:rPr>
          <w:rFonts w:ascii="Arial" w:hAnsi="Arial" w:cs="Arial"/>
          <w:b/>
          <w:sz w:val="24"/>
        </w:rPr>
        <w:t xml:space="preserve">Conclusiones. </w:t>
      </w:r>
    </w:p>
    <w:p>
      <w:pPr>
        <w:pStyle w:val="9"/>
        <w:numPr>
          <w:ilvl w:val="0"/>
          <w:numId w:val="4"/>
        </w:numPr>
        <w:spacing w:line="360" w:lineRule="auto"/>
        <w:jc w:val="both"/>
        <w:rPr>
          <w:rFonts w:ascii="Arial" w:hAnsi="Arial" w:cs="Arial"/>
          <w:sz w:val="24"/>
        </w:rPr>
      </w:pPr>
      <w:r>
        <w:rPr>
          <w:rFonts w:ascii="Arial" w:hAnsi="Arial" w:cs="Arial"/>
          <w:sz w:val="24"/>
        </w:rPr>
        <w:t>La pancreatitis aguda es una condición inflamatoria del páncreas que posee alta carga de enfermedad y una morbimortalidad considerable una vez toma un curso severo.</w:t>
      </w:r>
    </w:p>
    <w:p>
      <w:pPr>
        <w:pStyle w:val="9"/>
        <w:numPr>
          <w:ilvl w:val="0"/>
          <w:numId w:val="4"/>
        </w:numPr>
        <w:spacing w:line="360" w:lineRule="auto"/>
        <w:jc w:val="both"/>
        <w:rPr>
          <w:rFonts w:ascii="Arial" w:hAnsi="Arial" w:cs="Arial"/>
          <w:sz w:val="24"/>
        </w:rPr>
      </w:pPr>
      <w:r>
        <w:rPr>
          <w:rFonts w:ascii="Arial" w:hAnsi="Arial" w:cs="Arial"/>
          <w:sz w:val="24"/>
        </w:rPr>
        <w:t>La pancreatitis aguda en pacientes de UCI se caracteriza por un dolor abdominal intenso, elevaciones en las enzimas pancreáticas, y la tendencia a desarrollar complicaciones sistémicas graves que afectan a otros órganos y sistemas del cuerpo. El manejo de estos pacientes es un desafío complejo que requiere atención médica multidisciplinaria, monitoreo constante y, a veces, intervenciones quirúrgicas para abordar las complicaciones más graves. La identificación temprana y el tratamiento adecuado son esenciales para mejorar el pronóstico de los pacientes con pancreatitis aguda en UCI.</w:t>
      </w:r>
    </w:p>
    <w:p>
      <w:pPr>
        <w:pStyle w:val="9"/>
        <w:numPr>
          <w:ilvl w:val="0"/>
          <w:numId w:val="4"/>
        </w:numPr>
        <w:spacing w:line="360" w:lineRule="auto"/>
        <w:jc w:val="both"/>
        <w:rPr>
          <w:rFonts w:ascii="Arial" w:hAnsi="Arial" w:cs="Arial"/>
          <w:sz w:val="24"/>
        </w:rPr>
      </w:pPr>
      <w:r>
        <w:rPr>
          <w:rFonts w:ascii="Arial" w:hAnsi="Arial" w:cs="Arial"/>
          <w:sz w:val="24"/>
        </w:rPr>
        <w:t xml:space="preserve">La pancreatitis aguda puede pasar por diversos niveles de severidad, solo que dependerá de ellos criterios de clasificación que se deban tomar. Dentro de estos criterios se encuentra APACHE II, Ranson, el consenso Internacional de Atlanta y la de </w:t>
      </w:r>
      <w:r>
        <w:rPr>
          <w:rFonts w:ascii="Arial" w:hAnsi="Arial" w:cs="Arial"/>
          <w:sz w:val="24"/>
          <w:szCs w:val="24"/>
        </w:rPr>
        <w:t xml:space="preserve">BISAP. </w:t>
      </w: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b/>
          <w:sz w:val="24"/>
        </w:rPr>
      </w:pPr>
      <w:r>
        <w:rPr>
          <w:rFonts w:ascii="Arial" w:hAnsi="Arial" w:cs="Arial"/>
          <w:b/>
          <w:sz w:val="24"/>
        </w:rPr>
        <w:t xml:space="preserve">Referencias Bibliográficas. </w:t>
      </w:r>
    </w:p>
    <w:p>
      <w:pPr>
        <w:numPr>
          <w:ilvl w:val="0"/>
          <w:numId w:val="5"/>
        </w:numPr>
        <w:spacing w:line="360" w:lineRule="auto"/>
        <w:contextualSpacing/>
        <w:jc w:val="both"/>
        <w:rPr>
          <w:rFonts w:ascii="Arial" w:hAnsi="Arial" w:cs="Arial"/>
          <w:sz w:val="24"/>
        </w:rPr>
      </w:pPr>
      <w:r>
        <w:rPr>
          <w:rFonts w:ascii="Arial" w:hAnsi="Arial" w:cs="Arial"/>
          <w:sz w:val="24"/>
        </w:rPr>
        <w:t xml:space="preserve">Ruiz-Rebollo María Lourdes, Muñoz-Moreno María Fe, Busta-Nistal Reyes, Rizzo-Rodríguez María Antonella, Izquierdo-Santervás Sandra. </w:t>
      </w:r>
      <w:r>
        <w:rPr>
          <w:rFonts w:ascii="Arial" w:hAnsi="Arial" w:cs="Arial"/>
          <w:sz w:val="24"/>
          <w:lang w:val="en-US"/>
        </w:rPr>
        <w:t xml:space="preserve">Recurrent acute pancreatitis is not uncommon in our clinical setting. </w:t>
      </w:r>
      <w:r>
        <w:rPr>
          <w:rFonts w:ascii="Arial" w:hAnsi="Arial" w:cs="Arial"/>
          <w:sz w:val="24"/>
        </w:rPr>
        <w:t xml:space="preserve">Rev. gastroenterol. Perú  [Internet]. 2023  Ene [citado  2023  Sep  18] ;  43( 1 ): 31-37. Disponible en: </w:t>
      </w:r>
      <w:r>
        <w:fldChar w:fldCharType="begin"/>
      </w:r>
      <w:r>
        <w:instrText xml:space="preserve"> HYPERLINK "http://www.scielo.org.pe/scielo.php?script=sci_arttext&amp;pid=S1022-51292023000100031&amp;lng=es" </w:instrText>
      </w:r>
      <w:r>
        <w:fldChar w:fldCharType="separate"/>
      </w:r>
      <w:r>
        <w:rPr>
          <w:rFonts w:ascii="Arial" w:hAnsi="Arial" w:cs="Arial"/>
          <w:color w:val="0563C1" w:themeColor="hyperlink"/>
          <w:sz w:val="24"/>
          <w:u w:val="single"/>
          <w14:textFill>
            <w14:solidFill>
              <w14:schemeClr w14:val="hlink"/>
            </w14:solidFill>
          </w14:textFill>
        </w:rPr>
        <w:t>http://www.scielo.org.pe/scielo.php?script=sci_arttext&amp;pid=S1022-51292023000100031&amp;lng=es</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Nieto JA, Rodríguez SJ. Manejo de la pancreatitis aguda: guía de práctica clínica basada en la mejor información disponible. Revista Colombiana de Cirugía. 2019 [citado  2023  Sep  18]; 25(2):76-96. Disponible en: </w:t>
      </w:r>
      <w:r>
        <w:fldChar w:fldCharType="begin"/>
      </w:r>
      <w:r>
        <w:instrText xml:space="preserve"> HYPERLINK "https://www.revistacirugia.org/index.php/cirugia/article/view/457" </w:instrText>
      </w:r>
      <w:r>
        <w:fldChar w:fldCharType="separate"/>
      </w:r>
      <w:r>
        <w:rPr>
          <w:rFonts w:ascii="Arial" w:hAnsi="Arial" w:cs="Arial"/>
          <w:color w:val="0563C1" w:themeColor="hyperlink"/>
          <w:sz w:val="24"/>
          <w:u w:val="single"/>
          <w14:textFill>
            <w14:solidFill>
              <w14:schemeClr w14:val="hlink"/>
            </w14:solidFill>
          </w14:textFill>
        </w:rPr>
        <w:t>https://www.revistacirugia.org/index.php/cirugia/article/view/457</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Arroyo-Sánchez Abel Salvador, Aguirre-Mejía Rosa Yané. Perfil clínico y resultados de la pancreatitis aguda en la Unidad de Cuidados Intensivos e Intermedios de un hospital general. Rev. gastroenterol. Perú  [Internet]. 2020  Ene [citado  2023  Sep  18] ;  40( 1 ): 36-45. Disponible en: </w:t>
      </w:r>
      <w:r>
        <w:fldChar w:fldCharType="begin"/>
      </w:r>
      <w:r>
        <w:instrText xml:space="preserve"> HYPERLINK "http://www.scielo.org.pe/scielo.php?script=sci_arttext&amp;pid=S1022-51292020000100036&amp;lng=es" </w:instrText>
      </w:r>
      <w:r>
        <w:fldChar w:fldCharType="separate"/>
      </w:r>
      <w:r>
        <w:rPr>
          <w:rFonts w:ascii="Arial" w:hAnsi="Arial" w:cs="Arial"/>
          <w:color w:val="0563C1" w:themeColor="hyperlink"/>
          <w:sz w:val="24"/>
          <w:u w:val="single"/>
          <w14:textFill>
            <w14:solidFill>
              <w14:schemeClr w14:val="hlink"/>
            </w14:solidFill>
          </w14:textFill>
        </w:rPr>
        <w:t>http://www.scielo.org.pe/scielo.php?script=sci_arttext&amp;pid=S1022-51292020000100036&amp;lng=es</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lang w:val="en-US"/>
        </w:rPr>
        <w:t xml:space="preserve">Crockett SD, Wani S, Gardner TB, Falck-Ytter Y, Barkun AN; American Gastroenterological Association Institute Clinical Guidelines Committee. American Gastroenterological Association Institute Guideline on Initial Management of Acute Pancreatitis. </w:t>
      </w:r>
      <w:r>
        <w:rPr>
          <w:rFonts w:ascii="Arial" w:hAnsi="Arial" w:cs="Arial"/>
          <w:sz w:val="24"/>
        </w:rPr>
        <w:t>Gastroenterology. [citado 2023 Sep  18] ;  2018;154(4):1096-101. Disponible en:</w:t>
      </w:r>
      <w:r>
        <w:t xml:space="preserve"> </w:t>
      </w:r>
      <w:r>
        <w:fldChar w:fldCharType="begin"/>
      </w:r>
      <w:r>
        <w:instrText xml:space="preserve"> HYPERLINK "http://www.scielo.org.pe/scielo.php?script=sci_arttext&amp;pid=S1022-51292020000100036" </w:instrText>
      </w:r>
      <w:r>
        <w:fldChar w:fldCharType="separate"/>
      </w:r>
      <w:r>
        <w:rPr>
          <w:rFonts w:ascii="Arial" w:hAnsi="Arial" w:cs="Arial"/>
          <w:color w:val="0563C1" w:themeColor="hyperlink"/>
          <w:sz w:val="24"/>
          <w:u w:val="single"/>
          <w14:textFill>
            <w14:solidFill>
              <w14:schemeClr w14:val="hlink"/>
            </w14:solidFill>
          </w14:textFill>
        </w:rPr>
        <w:t>http://www.scielo.org.pe/scielo.php?script=sci_arttext&amp;pid=S1022-51292020000100036</w:t>
      </w:r>
      <w:r>
        <w:rPr>
          <w:rFonts w:ascii="Arial" w:hAnsi="Arial" w:cs="Arial"/>
          <w:color w:val="0563C1" w:themeColor="hyperlink"/>
          <w:sz w:val="24"/>
          <w:u w:val="single"/>
          <w14:textFill>
            <w14:solidFill>
              <w14:schemeClr w14:val="hlink"/>
            </w14:solidFill>
          </w14:textFill>
        </w:rPr>
        <w:fldChar w:fldCharType="end"/>
      </w:r>
    </w:p>
    <w:p>
      <w:pPr>
        <w:numPr>
          <w:ilvl w:val="0"/>
          <w:numId w:val="5"/>
        </w:numPr>
        <w:spacing w:line="360" w:lineRule="auto"/>
        <w:contextualSpacing/>
        <w:jc w:val="both"/>
        <w:rPr>
          <w:rFonts w:ascii="Arial" w:hAnsi="Arial" w:cs="Arial"/>
          <w:sz w:val="24"/>
        </w:rPr>
      </w:pPr>
      <w:r>
        <w:rPr>
          <w:rFonts w:ascii="Arial" w:hAnsi="Arial" w:cs="Arial"/>
          <w:sz w:val="24"/>
        </w:rPr>
        <w:t xml:space="preserve"> Guillermo M, Nuñez-Martinez J, Vasquez C, Denis I. Caracterización de pacientes con pancreatitis aguda en una unidad de cuidados intensivos polivalente. Revista Cubana de Medicina Militar [Internet]. 2022 [citado 2023 Sep  18]; 51 (2) Disponible en: </w:t>
      </w:r>
      <w:r>
        <w:fldChar w:fldCharType="begin"/>
      </w:r>
      <w:r>
        <w:instrText xml:space="preserve"> HYPERLINK "https://revmedmilitar.sld.cu/index.php/mil/article/view/1782" </w:instrText>
      </w:r>
      <w:r>
        <w:fldChar w:fldCharType="separate"/>
      </w:r>
      <w:r>
        <w:rPr>
          <w:rFonts w:ascii="Arial" w:hAnsi="Arial" w:cs="Arial"/>
          <w:color w:val="0563C1" w:themeColor="hyperlink"/>
          <w:sz w:val="24"/>
          <w:u w:val="single"/>
          <w14:textFill>
            <w14:solidFill>
              <w14:schemeClr w14:val="hlink"/>
            </w14:solidFill>
          </w14:textFill>
        </w:rPr>
        <w:t>https://revmedmilitar.sld.cu/index.php/mil/article/view/1782</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Sánchez Ames CS. Prevalencia y factores de riesgo asociados a la pancreatitis aguda de causa biliar en la población adulta femenina en el Hospital José Agurto Tello Chosica durante el período enero-diciembre 2016 [Internet]. Perú: Universidad Ricardo Palma; 2018 [citado 25 May 2021]. Disponible en: </w:t>
      </w:r>
      <w:r>
        <w:fldChar w:fldCharType="begin"/>
      </w:r>
      <w:r>
        <w:instrText xml:space="preserve"> HYPERLINK "https://repositorio.urp.edu.pe/bitstream/handle/URP/1254/154%20S%c3%81NCHEZ%20AMES.pdf?sequence=1&amp;isAllowed=y" </w:instrText>
      </w:r>
      <w:r>
        <w:fldChar w:fldCharType="separate"/>
      </w:r>
      <w:r>
        <w:rPr>
          <w:rFonts w:ascii="Arial" w:hAnsi="Arial" w:cs="Arial"/>
          <w:color w:val="0563C1" w:themeColor="hyperlink"/>
          <w:sz w:val="24"/>
          <w:u w:val="single"/>
          <w14:textFill>
            <w14:solidFill>
              <w14:schemeClr w14:val="hlink"/>
            </w14:solidFill>
          </w14:textFill>
        </w:rPr>
        <w:t>https://repositorio.urp.edu.pe/bitstream/handle/URP/1254/154%20S%c3%81NCHEZ%20AMES.pdf?sequence=1&amp;isAllowed=y</w:t>
      </w:r>
      <w:r>
        <w:rPr>
          <w:rFonts w:ascii="Arial" w:hAnsi="Arial" w:cs="Arial"/>
          <w:color w:val="0563C1" w:themeColor="hyperlink"/>
          <w:sz w:val="24"/>
          <w:u w:val="single"/>
          <w14:textFill>
            <w14:solidFill>
              <w14:schemeClr w14:val="hlink"/>
            </w14:solidFill>
          </w14:textFill>
        </w:rPr>
        <w:fldChar w:fldCharType="end"/>
      </w:r>
    </w:p>
    <w:p>
      <w:pPr>
        <w:numPr>
          <w:ilvl w:val="0"/>
          <w:numId w:val="5"/>
        </w:numPr>
        <w:spacing w:line="360" w:lineRule="auto"/>
        <w:contextualSpacing/>
        <w:jc w:val="both"/>
        <w:rPr>
          <w:rFonts w:ascii="Arial" w:hAnsi="Arial" w:cs="Arial"/>
          <w:sz w:val="24"/>
        </w:rPr>
      </w:pPr>
      <w:r>
        <w:rPr>
          <w:rFonts w:ascii="Arial" w:hAnsi="Arial" w:cs="Arial"/>
          <w:sz w:val="24"/>
        </w:rPr>
        <w:t xml:space="preserve">Palomino-Cabrera A, Cruz-González M, Mesa-Izquierdo O. Caracterización clínica y epidemiológica de pacientes con pancreatitis aguda en un servicio de Cirugía General. Progaleno [revista en Internet]. 2021 [citado 18 Sep 2023]; 4 (3) :[aprox. 9 p.]. Disponible en: </w:t>
      </w:r>
      <w:r>
        <w:fldChar w:fldCharType="begin"/>
      </w:r>
      <w:r>
        <w:instrText xml:space="preserve"> HYPERLINK "https://revprogaleno.sld.cu/index.php/progaleno/article/view/306" </w:instrText>
      </w:r>
      <w:r>
        <w:fldChar w:fldCharType="separate"/>
      </w:r>
      <w:r>
        <w:rPr>
          <w:rFonts w:ascii="Arial" w:hAnsi="Arial" w:cs="Arial"/>
          <w:color w:val="0563C1" w:themeColor="hyperlink"/>
          <w:sz w:val="24"/>
          <w:u w:val="single"/>
          <w14:textFill>
            <w14:solidFill>
              <w14:schemeClr w14:val="hlink"/>
            </w14:solidFill>
          </w14:textFill>
        </w:rPr>
        <w:t>https://revprogaleno.sld.cu/index.php/progaleno/article/view/306</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Ministerio de Salud Pública. Anuario estadístico 2021 [Internet]. La Habana: Dirección Nacional de Registros Médicos y Estadísticas de Salud; 2022 [citado 18 Sep 2023];Disponible en: </w:t>
      </w:r>
      <w:r>
        <w:fldChar w:fldCharType="begin"/>
      </w:r>
      <w:r>
        <w:instrText xml:space="preserve"> HYPERLINK "http://www.onei.gob.cu/sites/default/files/19_salud_publica_y_asistencia_social_2019_1.pdf" </w:instrText>
      </w:r>
      <w:r>
        <w:fldChar w:fldCharType="separate"/>
      </w:r>
      <w:r>
        <w:rPr>
          <w:rFonts w:ascii="Arial" w:hAnsi="Arial" w:cs="Arial"/>
          <w:color w:val="0563C1" w:themeColor="hyperlink"/>
          <w:sz w:val="24"/>
          <w:u w:val="single"/>
          <w14:textFill>
            <w14:solidFill>
              <w14:schemeClr w14:val="hlink"/>
            </w14:solidFill>
          </w14:textFill>
        </w:rPr>
        <w:t>http://www.onei.gob.cu/sites/default/files/19_salud_publica_y_asistencia_social_2019_1.pdf</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Sainz Riguera, Sofía:</w:t>
      </w:r>
      <w:r>
        <w:t xml:space="preserve"> </w:t>
      </w:r>
      <w:r>
        <w:rPr>
          <w:rFonts w:ascii="Arial" w:hAnsi="Arial" w:cs="Arial"/>
          <w:sz w:val="24"/>
        </w:rPr>
        <w:t>Manejo de un paciente con pancreatitis aguda tras COVID-19 en UCI. Trabajo de fin de Grado en Enfermería Curso 2022-23. Universidad de Burgos. [citado 18 Sep 2023];</w:t>
      </w:r>
      <w:r>
        <w:t xml:space="preserve"> </w:t>
      </w:r>
      <w:r>
        <w:rPr>
          <w:rFonts w:ascii="Arial" w:hAnsi="Arial" w:cs="Arial"/>
          <w:sz w:val="24"/>
        </w:rPr>
        <w:t>Disponible en:</w:t>
      </w:r>
      <w:r>
        <w:t xml:space="preserve"> </w:t>
      </w:r>
      <w:r>
        <w:fldChar w:fldCharType="begin"/>
      </w:r>
      <w:r>
        <w:instrText xml:space="preserve"> HYPERLINK "https://www.enfermeradigital.com/common/img/tfgs/trabajos/SAINZ_RIGUERA_SOFIA.pdf" </w:instrText>
      </w:r>
      <w:r>
        <w:fldChar w:fldCharType="separate"/>
      </w:r>
      <w:r>
        <w:rPr>
          <w:rFonts w:ascii="Arial" w:hAnsi="Arial" w:cs="Arial"/>
          <w:color w:val="0563C1" w:themeColor="hyperlink"/>
          <w:sz w:val="24"/>
          <w:u w:val="single"/>
          <w14:textFill>
            <w14:solidFill>
              <w14:schemeClr w14:val="hlink"/>
            </w14:solidFill>
          </w14:textFill>
        </w:rPr>
        <w:t>https://www.enfermeradigital.com/common/img/tfgs/trabajos/SAINZ_RIGUERA_SOFIA.pdf</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Morel EC, Velasco JAVR, Lopez FI et all. Prevalencia de hógado graso en pacientes con pancreatitis aguda. Revista Médica MD [Internet]. 2019 Feb 19;</w:t>
      </w:r>
      <w:r>
        <w:t xml:space="preserve"> </w:t>
      </w:r>
      <w:r>
        <w:rPr>
          <w:rFonts w:ascii="Arial" w:hAnsi="Arial" w:cs="Arial"/>
          <w:sz w:val="24"/>
        </w:rPr>
        <w:t xml:space="preserve">[citado 18 Sep 2023]; 9:10(2):113-18. Disponible en: </w:t>
      </w:r>
      <w:r>
        <w:fldChar w:fldCharType="begin"/>
      </w:r>
      <w:r>
        <w:instrText xml:space="preserve"> HYPERLINK "https://www.medigraphic.com/cgi-bin/new/resumen.cgi?IDARTICULO=85135" </w:instrText>
      </w:r>
      <w:r>
        <w:fldChar w:fldCharType="separate"/>
      </w:r>
      <w:r>
        <w:rPr>
          <w:rFonts w:ascii="Arial" w:hAnsi="Arial" w:cs="Arial"/>
          <w:color w:val="0563C1" w:themeColor="hyperlink"/>
          <w:sz w:val="24"/>
          <w:u w:val="single"/>
          <w14:textFill>
            <w14:solidFill>
              <w14:schemeClr w14:val="hlink"/>
            </w14:solidFill>
          </w14:textFill>
        </w:rPr>
        <w:t>https://www.medigraphic.com/cgi-bin/new/resumen.cgi?IDARTICULO=85135</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Muñoz D, Medina R, Botache WF, Arrieta RE. Pancreatitis aguda: Puntos clave. Revisión argumentativa de la literatura. Rev Colomb Cir. [citado 18 Sep 2023]; 2023; 38:339-51. Disponible en:</w:t>
      </w:r>
      <w:r>
        <w:t xml:space="preserve"> </w:t>
      </w:r>
      <w:r>
        <w:fldChar w:fldCharType="begin"/>
      </w:r>
      <w:r>
        <w:instrText xml:space="preserve"> HYPERLINK "https://www.revistacirugia.org/index.php/cirugia/article/view/2206/1877" </w:instrText>
      </w:r>
      <w:r>
        <w:fldChar w:fldCharType="separate"/>
      </w:r>
      <w:r>
        <w:rPr>
          <w:rFonts w:ascii="Arial" w:hAnsi="Arial" w:cs="Arial"/>
          <w:color w:val="0563C1" w:themeColor="hyperlink"/>
          <w:sz w:val="24"/>
          <w:u w:val="single"/>
          <w14:textFill>
            <w14:solidFill>
              <w14:schemeClr w14:val="hlink"/>
            </w14:solidFill>
          </w14:textFill>
        </w:rPr>
        <w:t>https://www.revistacirugia.org/index.php/cirugia/article/view/2206/1877</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lang w:val="en-US"/>
        </w:rPr>
      </w:pPr>
      <w:r>
        <w:rPr>
          <w:rFonts w:ascii="Arial" w:hAnsi="Arial" w:cs="Arial"/>
          <w:sz w:val="24"/>
        </w:rPr>
        <w:t xml:space="preserve"> </w:t>
      </w:r>
      <w:r>
        <w:rPr>
          <w:rFonts w:ascii="Arial" w:hAnsi="Arial" w:cs="Arial"/>
          <w:sz w:val="24"/>
          <w:lang w:val="en-US"/>
        </w:rPr>
        <w:t xml:space="preserve">Clemens DL, Schneider KJ, Arkfeld CK, Grode JR, Wells MA, Singh S. Alcoholic pancreatitis: New insights into the pathogenesis and treatment.  World J Gastrointest Pathophysiol. 2016;7:48-58.  </w:t>
      </w:r>
    </w:p>
    <w:p>
      <w:pPr>
        <w:numPr>
          <w:ilvl w:val="0"/>
          <w:numId w:val="5"/>
        </w:numPr>
        <w:spacing w:line="360" w:lineRule="auto"/>
        <w:contextualSpacing/>
        <w:jc w:val="both"/>
        <w:rPr>
          <w:rFonts w:ascii="Arial" w:hAnsi="Arial" w:cs="Arial"/>
          <w:sz w:val="24"/>
        </w:rPr>
      </w:pPr>
      <w:r>
        <w:rPr>
          <w:rFonts w:ascii="Arial" w:hAnsi="Arial" w:cs="Arial"/>
          <w:sz w:val="24"/>
          <w:lang w:val="en-US"/>
        </w:rPr>
        <w:t xml:space="preserve">Leppäniemi A, Tolonen M, Tarasconi A, Segovia-Lohse H, Gamberini E, Kirkpatrick AW, et al. 2019 WSES guide-lines for the management of severe acute pancreatitis. </w:t>
      </w:r>
      <w:r>
        <w:rPr>
          <w:rFonts w:ascii="Arial" w:hAnsi="Arial" w:cs="Arial"/>
          <w:sz w:val="24"/>
        </w:rPr>
        <w:t xml:space="preserve">World J Emerg Surg. 2019; [citado 18 Sep 2023]; 14: 27. Disponible en:   </w:t>
      </w:r>
      <w:r>
        <w:fldChar w:fldCharType="begin"/>
      </w:r>
      <w:r>
        <w:instrText xml:space="preserve"> HYPERLINK "https://wjes.biomedcentral.com/articles/10.1186/s13017-019-0247-0" </w:instrText>
      </w:r>
      <w:r>
        <w:fldChar w:fldCharType="separate"/>
      </w:r>
      <w:r>
        <w:rPr>
          <w:rFonts w:ascii="Arial" w:hAnsi="Arial" w:cs="Arial"/>
          <w:color w:val="0563C1" w:themeColor="hyperlink"/>
          <w:sz w:val="24"/>
          <w:u w:val="single"/>
          <w14:textFill>
            <w14:solidFill>
              <w14:schemeClr w14:val="hlink"/>
            </w14:solidFill>
          </w14:textFill>
        </w:rPr>
        <w:t>https://wjes.biomedcentral.com/articles/10.1186/s13017-019-0247-0</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Rojas CA, Salazar N, Sepulveda M, Maldonado C, Castro AM, Gomez Y, et al. Características clínicas de pacientes con pancreatitis aguda  atendidos  en  un  hospital  de  alta complejidad en Cali. Rev Colomb Gastroenterol. 2021; [citado 18 Sep 2023]; 36:341-8. Disponible en:   </w:t>
      </w:r>
      <w:r>
        <w:fldChar w:fldCharType="begin"/>
      </w:r>
      <w:r>
        <w:instrText xml:space="preserve"> HYPERLINK "https://revistagastrocol.com/index.php/rcg/article/view/682" </w:instrText>
      </w:r>
      <w:r>
        <w:fldChar w:fldCharType="separate"/>
      </w:r>
      <w:r>
        <w:rPr>
          <w:rFonts w:ascii="Arial" w:hAnsi="Arial" w:cs="Arial"/>
          <w:color w:val="0563C1" w:themeColor="hyperlink"/>
          <w:sz w:val="24"/>
          <w:u w:val="single"/>
          <w14:textFill>
            <w14:solidFill>
              <w14:schemeClr w14:val="hlink"/>
            </w14:solidFill>
          </w14:textFill>
        </w:rPr>
        <w:t>https://revistagastrocol.com/index.php/rcg/article/view/682</w:t>
      </w:r>
      <w:r>
        <w:rPr>
          <w:rFonts w:ascii="Arial" w:hAnsi="Arial" w:cs="Arial"/>
          <w:color w:val="0563C1" w:themeColor="hyperlink"/>
          <w:sz w:val="24"/>
          <w:u w:val="single"/>
          <w14:textFill>
            <w14:solidFill>
              <w14:schemeClr w14:val="hlink"/>
            </w14:solidFill>
          </w14:textFill>
        </w:rPr>
        <w:fldChar w:fldCharType="end"/>
      </w:r>
    </w:p>
    <w:p>
      <w:pPr>
        <w:numPr>
          <w:ilvl w:val="0"/>
          <w:numId w:val="5"/>
        </w:numPr>
        <w:spacing w:line="360" w:lineRule="auto"/>
        <w:contextualSpacing/>
        <w:jc w:val="both"/>
        <w:rPr>
          <w:rFonts w:ascii="Arial" w:hAnsi="Arial" w:cs="Arial"/>
          <w:sz w:val="24"/>
        </w:rPr>
      </w:pPr>
      <w:r>
        <w:rPr>
          <w:rFonts w:ascii="Arial" w:hAnsi="Arial" w:cs="Arial"/>
          <w:sz w:val="24"/>
        </w:rPr>
        <w:t xml:space="preserve"> Yerba Coanqui LA. Pancreatitis aguda, incidencia, características sociodemográficas, clínicas y factores asociados en pacientes hospitalizados en el Hospital Manuel Núñez Butron de Puno en el período de junio 2018 a julio 2019 [Internet]. Perú: Universidad Nacional Del Altiplano; 2020, [citado 18 Sep 2023]. Disponible en: </w:t>
      </w:r>
      <w:r>
        <w:fldChar w:fldCharType="begin"/>
      </w:r>
      <w:r>
        <w:instrText xml:space="preserve"> HYPERLINK "http://repositorio.unap.edu.pe/bitstream/handle/UNAP/13536/Yerba_Coanqui_Luis_Andres.pdf?sequence=3&amp;isAllowed=y" </w:instrText>
      </w:r>
      <w:r>
        <w:fldChar w:fldCharType="separate"/>
      </w:r>
      <w:r>
        <w:rPr>
          <w:rFonts w:ascii="Arial" w:hAnsi="Arial" w:cs="Arial"/>
          <w:color w:val="0563C1" w:themeColor="hyperlink"/>
          <w:sz w:val="24"/>
          <w:u w:val="single"/>
          <w14:textFill>
            <w14:solidFill>
              <w14:schemeClr w14:val="hlink"/>
            </w14:solidFill>
          </w14:textFill>
        </w:rPr>
        <w:t>http://repositorio.unap.edu.pe/bitstream/handle/UNAP/13536/Yerba_Coanqui_Luis_Andres.pdf?sequence=3&amp;isAllowed=y</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Angamarca, M., Domínguez, J. Muñoz, D., Vázquez, A., Guartambel, E., &amp; Guapisaca, J. (2023). Eficacia de las escalas APACHE versus Balthazar para valorar la severidad en pancreatitis aguda. Tesla Revista Científica, 3(1). Disponible en: </w:t>
      </w:r>
      <w:r>
        <w:fldChar w:fldCharType="begin"/>
      </w:r>
      <w:r>
        <w:instrText xml:space="preserve"> HYPERLINK "https://tesla.puertomaderoeditorial.com.ar/index.php/tesla/article/view/130" </w:instrText>
      </w:r>
      <w:r>
        <w:fldChar w:fldCharType="separate"/>
      </w:r>
      <w:r>
        <w:rPr>
          <w:rFonts w:ascii="Arial" w:hAnsi="Arial" w:cs="Arial"/>
          <w:color w:val="0563C1" w:themeColor="hyperlink"/>
          <w:sz w:val="24"/>
          <w:u w:val="single"/>
          <w14:textFill>
            <w14:solidFill>
              <w14:schemeClr w14:val="hlink"/>
            </w14:solidFill>
          </w14:textFill>
        </w:rPr>
        <w:t>https://tesla.puertomaderoeditorial.com.ar/index.php/tesla/article/view/130</w:t>
      </w:r>
      <w:r>
        <w:rPr>
          <w:rFonts w:ascii="Arial" w:hAnsi="Arial" w:cs="Arial"/>
          <w:color w:val="0563C1" w:themeColor="hyperlink"/>
          <w:sz w:val="24"/>
          <w:u w:val="single"/>
          <w14:textFill>
            <w14:solidFill>
              <w14:schemeClr w14:val="hlink"/>
            </w14:solidFill>
          </w14:textFill>
        </w:rPr>
        <w:fldChar w:fldCharType="end"/>
      </w:r>
    </w:p>
    <w:p>
      <w:pPr>
        <w:numPr>
          <w:ilvl w:val="0"/>
          <w:numId w:val="5"/>
        </w:numPr>
        <w:spacing w:line="360" w:lineRule="auto"/>
        <w:contextualSpacing/>
        <w:jc w:val="both"/>
        <w:rPr>
          <w:rFonts w:ascii="Arial" w:hAnsi="Arial" w:cs="Arial"/>
          <w:sz w:val="24"/>
        </w:rPr>
      </w:pPr>
      <w:r>
        <w:rPr>
          <w:rFonts w:ascii="Arial" w:hAnsi="Arial" w:cs="Arial"/>
          <w:sz w:val="24"/>
        </w:rPr>
        <w:t xml:space="preserve">Perez F, Valdes EA. Pancreatitis aguda: articulo de revisión. Revista Médico Científica [Internet]. 2020 Octubre [citado 18 Sep 2023]; 4;33(1):66--88. Disponible en: </w:t>
      </w:r>
      <w:r>
        <w:fldChar w:fldCharType="begin"/>
      </w:r>
      <w:r>
        <w:instrText xml:space="preserve"> HYPERLINK "https://revistamedicocientifica.org/index.php/rmc/article/view/570" </w:instrText>
      </w:r>
      <w:r>
        <w:fldChar w:fldCharType="separate"/>
      </w:r>
      <w:r>
        <w:rPr>
          <w:rFonts w:ascii="Arial" w:hAnsi="Arial" w:cs="Arial"/>
          <w:color w:val="0563C1" w:themeColor="hyperlink"/>
          <w:sz w:val="24"/>
          <w:u w:val="single"/>
          <w14:textFill>
            <w14:solidFill>
              <w14:schemeClr w14:val="hlink"/>
            </w14:solidFill>
          </w14:textFill>
        </w:rPr>
        <w:t>https://revistamedicocientifica.org/index.php/rmc/article/view/570</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  </w:t>
      </w:r>
      <w:r>
        <w:rPr>
          <w:rFonts w:ascii="Arial" w:hAnsi="Arial" w:cs="Arial"/>
          <w:sz w:val="24"/>
          <w:lang w:val="en-US"/>
        </w:rPr>
        <w:t xml:space="preserve">Werge M, Novovic S, Schmidt PN, Gluud LL. Infection increases  mortality  in  necrotizing  pancreatitis:  A  systematic  review  and  meta-analysis.  </w:t>
      </w:r>
      <w:r>
        <w:rPr>
          <w:rFonts w:ascii="Arial" w:hAnsi="Arial" w:cs="Arial"/>
          <w:sz w:val="24"/>
        </w:rPr>
        <w:t xml:space="preserve">Pancreatology.  2016; [citado 18 Sep 2023]; 16:698-707. Disponible en:     </w:t>
      </w:r>
      <w:r>
        <w:fldChar w:fldCharType="begin"/>
      </w:r>
      <w:r>
        <w:instrText xml:space="preserve"> HYPERLINK "https://www.sciencedirect.com/science/article/abs/pii/S1424390316311437?via%3Dihub" </w:instrText>
      </w:r>
      <w:r>
        <w:fldChar w:fldCharType="separate"/>
      </w:r>
      <w:r>
        <w:rPr>
          <w:rFonts w:ascii="Arial" w:hAnsi="Arial" w:cs="Arial"/>
          <w:color w:val="0563C1" w:themeColor="hyperlink"/>
          <w:sz w:val="24"/>
          <w:u w:val="single"/>
          <w14:textFill>
            <w14:solidFill>
              <w14:schemeClr w14:val="hlink"/>
            </w14:solidFill>
          </w14:textFill>
        </w:rPr>
        <w:t>https://www.sciencedirect.com/science/article/abs/pii/S1424390316311437?via%3Dihub</w:t>
      </w:r>
      <w:r>
        <w:rPr>
          <w:rFonts w:ascii="Arial" w:hAnsi="Arial" w:cs="Arial"/>
          <w:color w:val="0563C1" w:themeColor="hyperlink"/>
          <w:sz w:val="24"/>
          <w:u w:val="single"/>
          <w14:textFill>
            <w14:solidFill>
              <w14:schemeClr w14:val="hlink"/>
            </w14:solidFill>
          </w14:textFill>
        </w:rPr>
        <w:fldChar w:fldCharType="end"/>
      </w:r>
    </w:p>
    <w:p>
      <w:pPr>
        <w:numPr>
          <w:ilvl w:val="0"/>
          <w:numId w:val="5"/>
        </w:numPr>
        <w:spacing w:line="360" w:lineRule="auto"/>
        <w:contextualSpacing/>
        <w:jc w:val="both"/>
        <w:rPr>
          <w:rFonts w:ascii="Arial" w:hAnsi="Arial" w:cs="Arial"/>
          <w:sz w:val="24"/>
        </w:rPr>
      </w:pPr>
      <w:r>
        <w:rPr>
          <w:rFonts w:ascii="Arial" w:hAnsi="Arial" w:cs="Arial"/>
          <w:sz w:val="24"/>
          <w:lang w:val="en-US"/>
        </w:rPr>
        <w:t xml:space="preserve">Burrowes DP, Choi HH, Rodgers SK, Fetzer DT, Kamaya A. Utility of ultrasound in acute pancreatitis. </w:t>
      </w:r>
      <w:r>
        <w:rPr>
          <w:rFonts w:ascii="Arial" w:hAnsi="Arial" w:cs="Arial"/>
          <w:sz w:val="24"/>
        </w:rPr>
        <w:t>Abdominal radiology (New York). 2020 [citado 18 Sep 2023];45(5):1253-64. Disponible en:</w:t>
      </w:r>
      <w:r>
        <w:t xml:space="preserve"> </w:t>
      </w:r>
      <w:r>
        <w:fldChar w:fldCharType="begin"/>
      </w:r>
      <w:r>
        <w:instrText xml:space="preserve"> HYPERLINK "https://link.springer.com/article/10.1007/s00261-019-02364" </w:instrText>
      </w:r>
      <w:r>
        <w:fldChar w:fldCharType="separate"/>
      </w:r>
      <w:r>
        <w:rPr>
          <w:rFonts w:ascii="Arial" w:hAnsi="Arial" w:cs="Arial"/>
          <w:color w:val="0563C1" w:themeColor="hyperlink"/>
          <w:sz w:val="24"/>
          <w:u w:val="single"/>
          <w14:textFill>
            <w14:solidFill>
              <w14:schemeClr w14:val="hlink"/>
            </w14:solidFill>
          </w14:textFill>
        </w:rPr>
        <w:t>https://link.springer.com/article/10.1007/s00261-019-02364</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lang w:val="en-US"/>
        </w:rPr>
        <w:t xml:space="preserve">McPherson SJ, O’Reilly DA, Sinclair MT, Smith N. The use of imaging in acute pancreatitis in United Kingdom hospitals: findings from a national quality of care study. </w:t>
      </w:r>
      <w:r>
        <w:rPr>
          <w:rFonts w:ascii="Arial" w:hAnsi="Arial" w:cs="Arial"/>
          <w:sz w:val="24"/>
        </w:rPr>
        <w:t>Br J Radiol. 2017; [citado 18 Sep 2023]; 90:20170224.</w:t>
      </w:r>
      <w:r>
        <w:t xml:space="preserve"> </w:t>
      </w:r>
      <w:r>
        <w:rPr>
          <w:rFonts w:ascii="Arial" w:hAnsi="Arial" w:cs="Arial"/>
          <w:sz w:val="24"/>
        </w:rPr>
        <w:t>Disponible en:</w:t>
      </w:r>
      <w:r>
        <w:t xml:space="preserve"> </w:t>
      </w:r>
      <w:r>
        <w:fldChar w:fldCharType="begin"/>
      </w:r>
      <w:r>
        <w:instrText xml:space="preserve"> HYPERLINK "https://www.birpublications.org/doi/10.1259/bjr.20170224" </w:instrText>
      </w:r>
      <w:r>
        <w:fldChar w:fldCharType="separate"/>
      </w:r>
      <w:r>
        <w:rPr>
          <w:rFonts w:ascii="Arial" w:hAnsi="Arial" w:cs="Arial"/>
          <w:color w:val="0563C1" w:themeColor="hyperlink"/>
          <w:sz w:val="24"/>
          <w:u w:val="single"/>
          <w14:textFill>
            <w14:solidFill>
              <w14:schemeClr w14:val="hlink"/>
            </w14:solidFill>
          </w14:textFill>
        </w:rPr>
        <w:t>https://www.birpublications.org/doi/10.1259/bjr.20170224</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lang w:val="en-US"/>
        </w:rPr>
        <w:t xml:space="preserve">Lippi G, Valentino M, Cervellin G. Laboratory diagnosis of acute pancreatitis: In search of the Holy Grail. </w:t>
      </w:r>
      <w:r>
        <w:rPr>
          <w:rFonts w:ascii="Arial" w:hAnsi="Arial" w:cs="Arial"/>
          <w:sz w:val="24"/>
        </w:rPr>
        <w:t>Crit Rev Clin Lab Sci. 2012; [citado 18 Sep 2023]; 49:18-31. Disponible en:</w:t>
      </w:r>
      <w:r>
        <w:t xml:space="preserve"> </w:t>
      </w:r>
      <w:r>
        <w:fldChar w:fldCharType="begin"/>
      </w:r>
      <w:r>
        <w:instrText xml:space="preserve"> HYPERLINK "https://www.tandfonline.com/doi/full/10.3109/10408363.2012.65835" </w:instrText>
      </w:r>
      <w:r>
        <w:fldChar w:fldCharType="separate"/>
      </w:r>
      <w:r>
        <w:rPr>
          <w:rFonts w:ascii="Arial" w:hAnsi="Arial" w:cs="Arial"/>
          <w:color w:val="0563C1" w:themeColor="hyperlink"/>
          <w:sz w:val="24"/>
          <w:u w:val="single"/>
          <w14:textFill>
            <w14:solidFill>
              <w14:schemeClr w14:val="hlink"/>
            </w14:solidFill>
          </w14:textFill>
        </w:rPr>
        <w:t>https://www.tandfonline.com/doi/full/10.3109/10408363.2012.65835</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rPr>
      </w:pPr>
      <w:r>
        <w:rPr>
          <w:rFonts w:ascii="Arial" w:hAnsi="Arial" w:cs="Arial"/>
          <w:sz w:val="24"/>
        </w:rPr>
        <w:t xml:space="preserve">Bustamante-Duron D, García-Lainez A, Umanzor-García W, Leiva-Rubio L, Barrientos-Rosales A, Diek-Romero L. Pancreatitis Aguda : Evidencia Actual. Archivos de Medicina. 2018; 14:1-10. </w:t>
      </w:r>
    </w:p>
    <w:p>
      <w:pPr>
        <w:numPr>
          <w:ilvl w:val="0"/>
          <w:numId w:val="5"/>
        </w:numPr>
        <w:spacing w:line="360" w:lineRule="auto"/>
        <w:contextualSpacing/>
        <w:jc w:val="both"/>
        <w:rPr>
          <w:rFonts w:ascii="Arial" w:hAnsi="Arial" w:cs="Arial"/>
          <w:sz w:val="24"/>
          <w:lang w:val="en-US"/>
        </w:rPr>
      </w:pPr>
      <w:r>
        <w:rPr>
          <w:rFonts w:ascii="Arial" w:hAnsi="Arial" w:cs="Arial"/>
          <w:sz w:val="24"/>
          <w:lang w:val="en-US"/>
        </w:rPr>
        <w:t xml:space="preserve">Gurusamy KS, Debray TPA, Rompianesi G. Prognos-tic  models  for  predicting  the  severity  and  mortality  in people with acute pancreatitis. Cochrane Database Syst Rev. 2018; 2018(5). </w:t>
      </w:r>
    </w:p>
    <w:p>
      <w:pPr>
        <w:numPr>
          <w:ilvl w:val="0"/>
          <w:numId w:val="5"/>
        </w:numPr>
        <w:spacing w:line="360" w:lineRule="auto"/>
        <w:contextualSpacing/>
        <w:jc w:val="both"/>
        <w:rPr>
          <w:rFonts w:ascii="Arial" w:hAnsi="Arial" w:cs="Arial"/>
          <w:sz w:val="24"/>
        </w:rPr>
      </w:pPr>
      <w:r>
        <w:rPr>
          <w:rFonts w:ascii="Arial" w:hAnsi="Arial" w:cs="Arial"/>
          <w:sz w:val="24"/>
          <w:lang w:val="en-US"/>
        </w:rPr>
        <w:t xml:space="preserve">Cho  JH,  Kim  TN,  Chung  HH,  Kim  KH.  Comparison  of  scoring  systems  in  predicting  the  severity  of  acute  pancreatitis. </w:t>
      </w:r>
      <w:r>
        <w:rPr>
          <w:rFonts w:ascii="Arial" w:hAnsi="Arial" w:cs="Arial"/>
          <w:sz w:val="24"/>
        </w:rPr>
        <w:t>World J Gastroenterol. 2015; [citado 18 Sep 2023]; 21:2387-94.</w:t>
      </w:r>
      <w:r>
        <w:t xml:space="preserve"> </w:t>
      </w:r>
      <w:r>
        <w:rPr>
          <w:rFonts w:ascii="Arial" w:hAnsi="Arial" w:cs="Arial"/>
          <w:sz w:val="24"/>
        </w:rPr>
        <w:t>Disponible en:</w:t>
      </w:r>
      <w:r>
        <w:t xml:space="preserve"> </w:t>
      </w:r>
      <w:r>
        <w:fldChar w:fldCharType="begin"/>
      </w:r>
      <w:r>
        <w:instrText xml:space="preserve"> HYPERLINK "https://www.wjgnet.com/1007-9327/full/v21/i8/2387.htm" </w:instrText>
      </w:r>
      <w:r>
        <w:fldChar w:fldCharType="separate"/>
      </w:r>
      <w:r>
        <w:rPr>
          <w:rFonts w:ascii="Arial" w:hAnsi="Arial" w:cs="Arial"/>
          <w:color w:val="0563C1" w:themeColor="hyperlink"/>
          <w:sz w:val="24"/>
          <w:u w:val="single"/>
          <w14:textFill>
            <w14:solidFill>
              <w14:schemeClr w14:val="hlink"/>
            </w14:solidFill>
          </w14:textFill>
        </w:rPr>
        <w:t>https://www.wjgnet.com/1007-9327/full/v21/i8/2387.htm</w:t>
      </w:r>
      <w:r>
        <w:rPr>
          <w:rFonts w:ascii="Arial" w:hAnsi="Arial" w:cs="Arial"/>
          <w:color w:val="0563C1" w:themeColor="hyperlink"/>
          <w:sz w:val="24"/>
          <w:u w:val="single"/>
          <w14:textFill>
            <w14:solidFill>
              <w14:schemeClr w14:val="hlink"/>
            </w14:solidFill>
          </w14:textFill>
        </w:rPr>
        <w:fldChar w:fldCharType="end"/>
      </w:r>
      <w:r>
        <w:rPr>
          <w:rFonts w:ascii="Arial" w:hAnsi="Arial" w:cs="Arial"/>
          <w:sz w:val="24"/>
        </w:rPr>
        <w:t xml:space="preserve"> </w:t>
      </w:r>
    </w:p>
    <w:p>
      <w:pPr>
        <w:numPr>
          <w:ilvl w:val="0"/>
          <w:numId w:val="5"/>
        </w:numPr>
        <w:spacing w:line="360" w:lineRule="auto"/>
        <w:contextualSpacing/>
        <w:jc w:val="both"/>
        <w:rPr>
          <w:rFonts w:ascii="Arial" w:hAnsi="Arial" w:cs="Arial"/>
          <w:sz w:val="24"/>
          <w:lang w:val="en-US"/>
        </w:rPr>
      </w:pPr>
      <w:r>
        <w:rPr>
          <w:rFonts w:ascii="Arial" w:hAnsi="Arial" w:cs="Arial"/>
          <w:sz w:val="24"/>
          <w:lang w:val="en-US"/>
        </w:rPr>
        <w:t xml:space="preserve">Mourad  MM,  Evans  RPT,  Kalidindi  V,  Navaratnam  R,  Dvorkin L, Bramhall SR. Prophylactic antibiotics in acu-te pancreatitis: Endless debate. Ann R Coll Surg Engl. 2017;99:107-12.    </w:t>
      </w:r>
    </w:p>
    <w:p>
      <w:pPr>
        <w:numPr>
          <w:ilvl w:val="0"/>
          <w:numId w:val="5"/>
        </w:numPr>
        <w:spacing w:line="360" w:lineRule="auto"/>
        <w:contextualSpacing/>
        <w:jc w:val="both"/>
        <w:rPr>
          <w:rFonts w:ascii="Arial" w:hAnsi="Arial" w:cs="Arial"/>
          <w:sz w:val="24"/>
          <w:lang w:val="en-US"/>
        </w:rPr>
      </w:pPr>
      <w:r>
        <w:rPr>
          <w:rFonts w:ascii="Arial" w:hAnsi="Arial" w:cs="Arial"/>
          <w:sz w:val="24"/>
          <w:lang w:val="en-US"/>
        </w:rPr>
        <w:t xml:space="preserve">van Baal MC, van Santvoort HC, Bollen TL, Bakker OJ, Besselink MG, Gooszen HG. Systematic review of per-cutaneous catheter drainage as primary treatment for necrotizing pancreatitis. Br J Surg. 2011;98:18-27. </w:t>
      </w:r>
    </w:p>
    <w:p>
      <w:pPr>
        <w:numPr>
          <w:ilvl w:val="0"/>
          <w:numId w:val="5"/>
        </w:numPr>
        <w:spacing w:line="360" w:lineRule="auto"/>
        <w:contextualSpacing/>
        <w:jc w:val="both"/>
        <w:rPr>
          <w:rFonts w:ascii="Arial" w:hAnsi="Arial" w:cs="Arial"/>
          <w:sz w:val="24"/>
        </w:rPr>
      </w:pPr>
      <w:r>
        <w:rPr>
          <w:rFonts w:ascii="Arial" w:hAnsi="Arial" w:cs="Arial"/>
          <w:sz w:val="24"/>
        </w:rPr>
        <w:t xml:space="preserve">Maraví Poma E, Laplaza Santos C, Gorraiz López B. Hoja de ruta de los cuidados clínicos para la pancreatitis aguda: recomendaciones para el manejo anticipado multidisciplinar (clinical pathways). Medicina Intensiva [Internet]. 2012 Julio [citado 18 Sep 2023];1;36(5):351-57. Disponible en: </w:t>
      </w:r>
      <w:r>
        <w:fldChar w:fldCharType="begin"/>
      </w:r>
      <w:r>
        <w:instrText xml:space="preserve"> HYPERLINK "https://www.sciencedirect.com/science/article/abs/pii/S021056911200112Xn" </w:instrText>
      </w:r>
      <w:r>
        <w:fldChar w:fldCharType="separate"/>
      </w:r>
      <w:r>
        <w:rPr>
          <w:rStyle w:val="4"/>
          <w:rFonts w:ascii="Arial" w:hAnsi="Arial" w:cs="Arial"/>
          <w:sz w:val="24"/>
        </w:rPr>
        <w:t>https://www.sciencedirect.com/science/article/abs/pii/S021056911200112Xn</w:t>
      </w:r>
      <w:r>
        <w:rPr>
          <w:rStyle w:val="4"/>
          <w:rFonts w:ascii="Arial" w:hAnsi="Arial" w:cs="Arial"/>
          <w:sz w:val="24"/>
        </w:rPr>
        <w:fldChar w:fldCharType="end"/>
      </w:r>
      <w:r>
        <w:rPr>
          <w:rFonts w:ascii="Arial" w:hAnsi="Arial" w:cs="Arial"/>
          <w:sz w:val="24"/>
        </w:rPr>
        <w:t xml:space="preserve"> </w:t>
      </w: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r>
        <w:rPr>
          <w:rFonts w:ascii="Arial" w:hAnsi="Arial" w:cs="Arial"/>
          <w:b/>
          <w:sz w:val="24"/>
        </w:rPr>
        <w:t>Anexos</w:t>
      </w:r>
      <w:r>
        <w:rPr>
          <w:rFonts w:ascii="Arial" w:hAnsi="Arial" w:cs="Arial"/>
          <w:sz w:val="24"/>
        </w:rPr>
        <w:t xml:space="preserve">. </w:t>
      </w:r>
    </w:p>
    <w:p>
      <w:pPr>
        <w:rPr>
          <w:rFonts w:ascii="Arial" w:hAnsi="Arial" w:cs="Arial"/>
          <w:sz w:val="24"/>
        </w:rPr>
      </w:pPr>
      <w:r>
        <w:rPr>
          <w:lang w:eastAsia="es-ES"/>
        </w:rPr>
        <w:drawing>
          <wp:inline distT="0" distB="0" distL="0" distR="0">
            <wp:extent cx="5815965" cy="4060190"/>
            <wp:effectExtent l="19050" t="19050" r="13335" b="165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6"/>
                    <a:srcRect l="25415" t="27599" r="27371" b="13800"/>
                    <a:stretch>
                      <a:fillRect/>
                    </a:stretch>
                  </pic:blipFill>
                  <pic:spPr>
                    <a:xfrm>
                      <a:off x="0" y="0"/>
                      <a:ext cx="5869339" cy="4097962"/>
                    </a:xfrm>
                    <a:prstGeom prst="rect">
                      <a:avLst/>
                    </a:prstGeom>
                    <a:ln>
                      <a:solidFill>
                        <a:schemeClr val="tx1"/>
                      </a:solidFill>
                    </a:ln>
                  </pic:spPr>
                </pic:pic>
              </a:graphicData>
            </a:graphic>
          </wp:inline>
        </w:drawing>
      </w:r>
    </w:p>
    <w:p>
      <w:pPr>
        <w:spacing w:line="360" w:lineRule="auto"/>
        <w:jc w:val="both"/>
        <w:rPr>
          <w:rFonts w:ascii="Arial" w:hAnsi="Arial" w:cs="Arial"/>
          <w:sz w:val="24"/>
        </w:rPr>
      </w:pPr>
      <w:r>
        <w:rPr>
          <w:rFonts w:ascii="Arial" w:hAnsi="Arial" w:cs="Arial"/>
          <w:sz w:val="24"/>
        </w:rPr>
        <w:t>Anexo 1. Evolución natural de la pancreatitis aguda.</w:t>
      </w: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p>
    <w:p>
      <w:pPr>
        <w:spacing w:line="360" w:lineRule="auto"/>
        <w:jc w:val="both"/>
        <w:rPr>
          <w:rFonts w:ascii="Arial" w:hAnsi="Arial" w:cs="Arial"/>
          <w:sz w:val="24"/>
        </w:rPr>
      </w:pPr>
      <w:r>
        <w:rPr>
          <w:lang w:eastAsia="es-ES"/>
        </w:rPr>
        <w:drawing>
          <wp:inline distT="0" distB="0" distL="0" distR="0">
            <wp:extent cx="6336665" cy="7484110"/>
            <wp:effectExtent l="19050" t="19050" r="26035" b="215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7"/>
                    <a:srcRect l="31901" t="20456" r="33007" b="5862"/>
                    <a:stretch>
                      <a:fillRect/>
                    </a:stretch>
                  </pic:blipFill>
                  <pic:spPr>
                    <a:xfrm>
                      <a:off x="0" y="0"/>
                      <a:ext cx="6360901" cy="7513287"/>
                    </a:xfrm>
                    <a:prstGeom prst="rect">
                      <a:avLst/>
                    </a:prstGeom>
                    <a:ln>
                      <a:solidFill>
                        <a:schemeClr val="tx1"/>
                      </a:solidFill>
                    </a:ln>
                  </pic:spPr>
                </pic:pic>
              </a:graphicData>
            </a:graphic>
          </wp:inline>
        </w:drawing>
      </w:r>
    </w:p>
    <w:p>
      <w:pPr>
        <w:rPr>
          <w:rFonts w:ascii="Arial" w:hAnsi="Arial" w:cs="Arial"/>
          <w:sz w:val="24"/>
        </w:rPr>
      </w:pPr>
      <w:r>
        <w:rPr>
          <w:rFonts w:ascii="Arial" w:hAnsi="Arial" w:cs="Arial"/>
          <w:sz w:val="24"/>
        </w:rPr>
        <w:t>Anexo 2: Manejo anticipado de la PA y su valoración de ingreso en la UCI.</w:t>
      </w:r>
    </w:p>
    <w:sectPr>
      <w:pgSz w:w="12240" w:h="15840"/>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158E"/>
    <w:multiLevelType w:val="multilevel"/>
    <w:tmpl w:val="0474158E"/>
    <w:lvl w:ilvl="0" w:tentative="0">
      <w:start w:val="1"/>
      <w:numFmt w:val="bullet"/>
      <w:lvlText w:val=""/>
      <w:lvlJc w:val="left"/>
      <w:pPr>
        <w:tabs>
          <w:tab w:val="left" w:pos="720"/>
        </w:tabs>
        <w:ind w:left="720" w:hanging="360"/>
      </w:pPr>
      <w:rPr>
        <w:rFonts w:hint="default" w:ascii="Wingdings" w:hAnsi="Wingdings"/>
        <w:vertAlign w:val="baseline"/>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346260D"/>
    <w:multiLevelType w:val="multilevel"/>
    <w:tmpl w:val="1346260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7DB68BD"/>
    <w:multiLevelType w:val="multilevel"/>
    <w:tmpl w:val="17DB68BD"/>
    <w:lvl w:ilvl="0" w:tentative="0">
      <w:start w:val="1"/>
      <w:numFmt w:val="bullet"/>
      <w:lvlText w:val=""/>
      <w:lvlJc w:val="left"/>
      <w:pPr>
        <w:tabs>
          <w:tab w:val="left" w:pos="720"/>
        </w:tabs>
        <w:ind w:left="720" w:hanging="360"/>
      </w:pPr>
      <w:rPr>
        <w:rFonts w:hint="default" w:ascii="Wingdings" w:hAnsi="Wingdings"/>
        <w:vertAlign w:val="baseline"/>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9F916E8"/>
    <w:multiLevelType w:val="multilevel"/>
    <w:tmpl w:val="49F916E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8D30E4F"/>
    <w:multiLevelType w:val="multilevel"/>
    <w:tmpl w:val="78D30E4F"/>
    <w:lvl w:ilvl="0" w:tentative="0">
      <w:start w:val="1"/>
      <w:numFmt w:val="decimal"/>
      <w:lvlText w:val="%1."/>
      <w:lvlJc w:val="left"/>
      <w:pPr>
        <w:ind w:left="360" w:hanging="360"/>
      </w:pPr>
      <w:rPr>
        <w:rFonts w:hint="default" w:ascii="Calibri" w:hAnsi="Calibri" w:cs="Calibri"/>
        <w:b/>
        <w:color w:val="000000" w:themeColor="text1"/>
        <w:sz w:val="28"/>
        <w14:textFill>
          <w14:solidFill>
            <w14:schemeClr w14:val="tx1"/>
          </w14:solidFill>
        </w14:textFil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77"/>
    <w:rsid w:val="000C6BBB"/>
    <w:rsid w:val="001125B6"/>
    <w:rsid w:val="001E6385"/>
    <w:rsid w:val="002F3BBC"/>
    <w:rsid w:val="003C78BB"/>
    <w:rsid w:val="00432337"/>
    <w:rsid w:val="00446836"/>
    <w:rsid w:val="00466E23"/>
    <w:rsid w:val="005A26C7"/>
    <w:rsid w:val="00640177"/>
    <w:rsid w:val="00733532"/>
    <w:rsid w:val="00774643"/>
    <w:rsid w:val="007B671A"/>
    <w:rsid w:val="009C0A7F"/>
    <w:rsid w:val="00A26F28"/>
    <w:rsid w:val="00A67530"/>
    <w:rsid w:val="00B24B8A"/>
    <w:rsid w:val="00D76E2B"/>
    <w:rsid w:val="00DB2C4B"/>
    <w:rsid w:val="00E252AB"/>
    <w:rsid w:val="42B7133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header"/>
    <w:basedOn w:val="1"/>
    <w:link w:val="11"/>
    <w:unhideWhenUsed/>
    <w:qFormat/>
    <w:uiPriority w:val="99"/>
    <w:pPr>
      <w:tabs>
        <w:tab w:val="center" w:pos="4252"/>
        <w:tab w:val="right" w:pos="8504"/>
      </w:tabs>
      <w:spacing w:after="0" w:line="240" w:lineRule="auto"/>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es-ES"/>
    </w:rPr>
  </w:style>
  <w:style w:type="paragraph" w:styleId="7">
    <w:name w:val="footer"/>
    <w:basedOn w:val="1"/>
    <w:link w:val="12"/>
    <w:unhideWhenUsed/>
    <w:uiPriority w:val="99"/>
    <w:pPr>
      <w:tabs>
        <w:tab w:val="center" w:pos="4252"/>
        <w:tab w:val="right" w:pos="8504"/>
      </w:tabs>
      <w:spacing w:after="0" w:line="240" w:lineRule="auto"/>
    </w:pPr>
  </w:style>
  <w:style w:type="paragraph" w:styleId="8">
    <w:name w:val="Subtitle"/>
    <w:basedOn w:val="1"/>
    <w:next w:val="1"/>
    <w:link w:val="10"/>
    <w:qFormat/>
    <w:uiPriority w:val="0"/>
    <w:pPr>
      <w:spacing w:after="80" w:line="240" w:lineRule="auto"/>
    </w:pPr>
    <w:rPr>
      <w:rFonts w:asciiTheme="majorHAnsi" w:hAnsiTheme="majorHAnsi" w:eastAsiaTheme="majorEastAsia" w:cstheme="majorBidi"/>
      <w:i/>
      <w:iCs/>
      <w:color w:val="5B9BD5" w:themeColor="accent1"/>
      <w:spacing w:val="15"/>
      <w:sz w:val="24"/>
      <w:szCs w:val="24"/>
      <w:lang/>
      <w14:textFill>
        <w14:solidFill>
          <w14:schemeClr w14:val="accent1"/>
        </w14:solidFill>
      </w14:textFill>
    </w:rPr>
  </w:style>
  <w:style w:type="paragraph" w:styleId="9">
    <w:name w:val="List Paragraph"/>
    <w:basedOn w:val="1"/>
    <w:qFormat/>
    <w:uiPriority w:val="34"/>
    <w:pPr>
      <w:spacing w:after="80" w:line="240" w:lineRule="auto"/>
      <w:ind w:left="708"/>
    </w:pPr>
    <w:rPr>
      <w:lang/>
    </w:rPr>
  </w:style>
  <w:style w:type="character" w:customStyle="1" w:styleId="10">
    <w:name w:val="Subtítulo Car"/>
    <w:basedOn w:val="2"/>
    <w:link w:val="8"/>
    <w:qFormat/>
    <w:uiPriority w:val="0"/>
    <w:rPr>
      <w:rFonts w:asciiTheme="majorHAnsi" w:hAnsiTheme="majorHAnsi" w:eastAsiaTheme="majorEastAsia" w:cstheme="majorBidi"/>
      <w:i/>
      <w:iCs/>
      <w:color w:val="5B9BD5" w:themeColor="accent1"/>
      <w:spacing w:val="15"/>
      <w:sz w:val="24"/>
      <w:szCs w:val="24"/>
      <w:lang/>
      <w14:textFill>
        <w14:solidFill>
          <w14:schemeClr w14:val="accent1"/>
        </w14:solidFill>
      </w14:textFill>
    </w:rPr>
  </w:style>
  <w:style w:type="character" w:customStyle="1" w:styleId="11">
    <w:name w:val="Encabezado Car"/>
    <w:basedOn w:val="2"/>
    <w:link w:val="5"/>
    <w:uiPriority w:val="99"/>
  </w:style>
  <w:style w:type="character" w:customStyle="1" w:styleId="12">
    <w:name w:val="Pie de página Car"/>
    <w:basedOn w:val="2"/>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Desktop\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Template>
  <Pages>25</Pages>
  <Words>7475</Words>
  <Characters>41116</Characters>
  <Lines>342</Lines>
  <Paragraphs>96</Paragraphs>
  <TotalTime>370</TotalTime>
  <ScaleCrop>false</ScaleCrop>
  <LinksUpToDate>false</LinksUpToDate>
  <CharactersWithSpaces>48495</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2023-09-19T00:12:00Z</dcterms:created>
  <dc:creator>Dario</dc:creator>
  <cp:lastModifiedBy>PC</cp:lastModifiedBy>
  <dcterms:modified xsi:type="dcterms:W3CDTF">2023-09-20T07:13:01Z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3082-11.2.0.10200</vt:lpwstr>
  </property>
</Properties>
</file>